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"/>
        <w:ind w:left="203"/>
        <w:rPr>
          <w:rFonts w:hint="eastAsia" w:ascii="Times New Roman" w:eastAsia="宋体"/>
          <w:sz w:val="20"/>
          <w:lang w:eastAsia="zh-CN"/>
        </w:rPr>
      </w:pPr>
      <w:r>
        <w:rPr>
          <w:rFonts w:hint="eastAsia" w:ascii="Times New Roman" w:eastAsia="宋体"/>
          <w:sz w:val="20"/>
          <w:lang w:eastAsia="zh-CN"/>
        </w:rPr>
        <w:drawing>
          <wp:inline distT="0" distB="0" distL="114300" distR="114300">
            <wp:extent cx="1183005" cy="558165"/>
            <wp:effectExtent l="0" t="0" r="17145" b="13335"/>
            <wp:docPr id="2" name="图片 2" descr="155243951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5243951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8"/>
        <w:rPr>
          <w:rFonts w:ascii="Arial Black" w:hAnsi="Arial Black"/>
          <w:sz w:val="24"/>
        </w:rPr>
      </w:pPr>
      <w:r>
        <w:rPr>
          <w:rFonts w:hint="eastAsia" w:ascii="Times New Roman" w:eastAsia="宋体"/>
          <w:lang w:val="en-US" w:eastAsia="zh-CN"/>
        </w:rPr>
        <w:t xml:space="preserve">                                                                                      </w:t>
      </w:r>
      <w:r>
        <w:rPr>
          <w:rFonts w:hint="eastAsia" w:ascii="Times New Roman" w:eastAsia="宋体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3"/>
          <w:sz w:val="32"/>
          <w:szCs w:val="32"/>
          <w:lang w:val="en-US" w:eastAsia="zh-CN"/>
        </w:rPr>
        <w:t>表带胶 MD9075</w:t>
      </w:r>
    </w:p>
    <w:p>
      <w:pPr>
        <w:spacing w:before="0"/>
        <w:ind w:right="0" w:firstLine="2640" w:firstLineChars="1100"/>
        <w:jc w:val="left"/>
        <w:rPr>
          <w:rFonts w:ascii="Arial Black" w:hAnsi="Arial Black"/>
          <w:sz w:val="24"/>
        </w:rPr>
      </w:pPr>
    </w:p>
    <w:p>
      <w:pPr>
        <w:pStyle w:val="2"/>
        <w:spacing w:before="70"/>
      </w:pPr>
      <w:r>
        <w:rPr>
          <w:rFonts w:hint="eastAsia"/>
          <w:lang w:val="en-US" w:eastAsia="zh-CN"/>
        </w:rPr>
        <w:t xml:space="preserve"> </w:t>
      </w:r>
      <w:r>
        <w:rPr>
          <w:b/>
          <w:bCs/>
        </w:rPr>
        <w:t>技术数据表</w:t>
      </w:r>
    </w:p>
    <w:p>
      <w:pPr/>
    </w:p>
    <w:tbl>
      <w:tblPr>
        <w:tblStyle w:val="5"/>
        <w:tblW w:w="9465" w:type="dxa"/>
        <w:tblInd w:w="4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0"/>
        <w:gridCol w:w="6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2980" w:type="dxa"/>
          </w:tcPr>
          <w:p>
            <w:pPr>
              <w:pStyle w:val="9"/>
              <w:spacing w:before="14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特性和优点</w:t>
            </w:r>
          </w:p>
        </w:tc>
        <w:tc>
          <w:tcPr>
            <w:tcW w:w="6485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1103"/>
                <w:tab w:val="left" w:pos="1104"/>
              </w:tabs>
              <w:spacing w:before="142" w:after="0" w:line="276" w:lineRule="exact"/>
              <w:ind w:right="0" w:rightChars="0"/>
              <w:jc w:val="both"/>
              <w:rPr>
                <w:rFonts w:ascii="Arial" w:hAnsi="Arial" w:eastAsia="Arial"/>
                <w:sz w:val="22"/>
              </w:rPr>
            </w:pPr>
            <w:r>
              <w:rPr>
                <w:spacing w:val="12"/>
                <w:sz w:val="22"/>
              </w:rPr>
              <w:t>多种用途</w:t>
            </w:r>
            <w:r>
              <w:rPr>
                <w:rFonts w:ascii="Arial" w:hAnsi="Arial" w:eastAsia="Arial"/>
                <w:sz w:val="22"/>
              </w:rPr>
              <w:t>(GP)</w:t>
            </w:r>
          </w:p>
          <w:p>
            <w:pPr>
              <w:pStyle w:val="9"/>
              <w:spacing w:line="252" w:lineRule="exact"/>
              <w:jc w:val="left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/>
                <w:sz w:val="22"/>
                <w:lang w:val="en-US" w:eastAsia="zh-CN"/>
              </w:rPr>
              <w:t>高強度，高回彈性能</w:t>
            </w:r>
          </w:p>
          <w:p>
            <w:pPr>
              <w:pStyle w:val="9"/>
              <w:spacing w:line="252" w:lineRule="exact"/>
              <w:jc w:val="left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透明度高，撕裂强度高；</w:t>
            </w:r>
          </w:p>
          <w:p>
            <w:pPr>
              <w:pStyle w:val="9"/>
              <w:spacing w:line="252" w:lineRule="exact"/>
              <w:jc w:val="left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耐磨性、疲劳性、压缩永久变形性优良；</w:t>
            </w:r>
          </w:p>
          <w:p>
            <w:pPr>
              <w:pStyle w:val="9"/>
              <w:spacing w:line="252" w:lineRule="exact"/>
              <w:jc w:val="left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对人体无害。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980" w:type="dxa"/>
          </w:tcPr>
          <w:p>
            <w:pPr>
              <w:pStyle w:val="9"/>
              <w:spacing w:before="13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组成</w:t>
            </w:r>
          </w:p>
        </w:tc>
        <w:tc>
          <w:tcPr>
            <w:tcW w:w="6485" w:type="dxa"/>
            <w:vAlign w:val="center"/>
          </w:tcPr>
          <w:p>
            <w:pPr>
              <w:pStyle w:val="9"/>
              <w:spacing w:line="252" w:lineRule="exact"/>
              <w:jc w:val="left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有机硅橡胶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980" w:type="dxa"/>
          </w:tcPr>
          <w:p>
            <w:pPr>
              <w:pStyle w:val="9"/>
              <w:spacing w:before="136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应用</w:t>
            </w:r>
          </w:p>
        </w:tc>
        <w:tc>
          <w:tcPr>
            <w:tcW w:w="6485" w:type="dxa"/>
            <w:vAlign w:val="center"/>
          </w:tcPr>
          <w:p>
            <w:pPr>
              <w:pStyle w:val="9"/>
              <w:spacing w:line="252" w:lineRule="exact"/>
              <w:jc w:val="left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适用于作</w:t>
            </w:r>
            <w:r>
              <w:rPr>
                <w:rFonts w:hint="eastAsia" w:cs="宋体"/>
                <w:spacing w:val="-3"/>
                <w:sz w:val="21"/>
                <w:szCs w:val="21"/>
                <w:lang w:val="en-US" w:eastAsia="zh-CN"/>
              </w:rPr>
              <w:t>表带等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要求透明度高、</w:t>
            </w:r>
            <w:r>
              <w:rPr>
                <w:rFonts w:hint="eastAsia" w:cs="宋体"/>
                <w:spacing w:val="-3"/>
                <w:sz w:val="21"/>
                <w:szCs w:val="21"/>
                <w:lang w:val="en-US" w:eastAsia="zh-CN"/>
              </w:rPr>
              <w:t>抗撕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强度好的食品级、特殊要求的产品。</w:t>
            </w:r>
          </w:p>
          <w:p>
            <w:pPr>
              <w:pStyle w:val="9"/>
              <w:spacing w:line="252" w:lineRule="exact"/>
              <w:jc w:val="left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硫化后的产品可在-50℃~250℃使用。</w:t>
            </w:r>
          </w:p>
        </w:tc>
      </w:tr>
    </w:tbl>
    <w:p>
      <w:pPr>
        <w:pStyle w:val="3"/>
        <w:spacing w:before="1"/>
        <w:rPr>
          <w:rFonts w:ascii="Arial Black"/>
          <w:sz w:val="17"/>
        </w:rPr>
      </w:pPr>
    </w:p>
    <w:p>
      <w:pPr>
        <w:spacing w:before="1"/>
        <w:ind w:left="337" w:right="0" w:firstLine="0"/>
        <w:jc w:val="left"/>
        <w:rPr>
          <w:b/>
          <w:bCs w:val="0"/>
          <w:sz w:val="22"/>
        </w:rPr>
      </w:pPr>
      <w:r>
        <w:rPr>
          <w:rFonts w:hint="eastAsia"/>
          <w:b/>
          <w:bCs w:val="0"/>
          <w:sz w:val="22"/>
          <w:lang w:val="en-US" w:eastAsia="zh-CN"/>
        </w:rPr>
        <w:t xml:space="preserve">   </w:t>
      </w:r>
      <w:r>
        <w:rPr>
          <w:b/>
          <w:bCs w:val="0"/>
          <w:sz w:val="22"/>
        </w:rPr>
        <w:t>典型物性</w:t>
      </w:r>
    </w:p>
    <w:tbl>
      <w:tblPr>
        <w:tblStyle w:val="5"/>
        <w:tblpPr w:leftFromText="180" w:rightFromText="180" w:vertAnchor="text" w:horzAnchor="page" w:tblpX="1256" w:tblpY="279"/>
        <w:tblOverlap w:val="never"/>
        <w:tblW w:w="9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44"/>
        <w:gridCol w:w="2202"/>
        <w:gridCol w:w="3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644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before="9"/>
              <w:ind w:right="63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 xml:space="preserve">       项目</w:t>
            </w:r>
          </w:p>
        </w:tc>
        <w:tc>
          <w:tcPr>
            <w:tcW w:w="2202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before="9"/>
              <w:ind w:right="63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 xml:space="preserve">      单位</w:t>
            </w:r>
          </w:p>
        </w:tc>
        <w:tc>
          <w:tcPr>
            <w:tcW w:w="3574" w:type="dxa"/>
            <w:vAlign w:val="center"/>
          </w:tcPr>
          <w:p>
            <w:pPr>
              <w:pStyle w:val="9"/>
              <w:spacing w:before="80"/>
              <w:ind w:left="0" w:right="241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>MD9075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3644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before="9"/>
              <w:ind w:left="106"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 xml:space="preserve">          外观</w:t>
            </w:r>
          </w:p>
        </w:tc>
        <w:tc>
          <w:tcPr>
            <w:tcW w:w="2202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before="9"/>
              <w:ind w:left="106"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en-US"/>
              </w:rPr>
              <w:t xml:space="preserve">        -</w:t>
            </w:r>
          </w:p>
        </w:tc>
        <w:tc>
          <w:tcPr>
            <w:tcW w:w="3574" w:type="dxa"/>
            <w:vAlign w:val="center"/>
          </w:tcPr>
          <w:p>
            <w:pPr>
              <w:pStyle w:val="9"/>
              <w:spacing w:before="9"/>
              <w:ind w:left="0" w:right="22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无色透明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644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before="11"/>
              <w:ind w:left="106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 xml:space="preserve">  比重（25℃）</w:t>
            </w:r>
          </w:p>
        </w:tc>
        <w:tc>
          <w:tcPr>
            <w:tcW w:w="2202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before="11"/>
              <w:ind w:left="10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en-US"/>
              </w:rPr>
              <w:t>g/cm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vertAlign w:val="superscript"/>
                <w:lang w:val="en-US" w:eastAsia="zh-CN" w:bidi="en-US"/>
              </w:rPr>
              <w:t>3</w:t>
            </w:r>
          </w:p>
        </w:tc>
        <w:tc>
          <w:tcPr>
            <w:tcW w:w="3574" w:type="dxa"/>
            <w:vAlign w:val="center"/>
          </w:tcPr>
          <w:p>
            <w:pPr>
              <w:pStyle w:val="9"/>
              <w:spacing w:before="11"/>
              <w:ind w:left="0" w:right="18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44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before="11"/>
              <w:ind w:left="106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>硬度</w:t>
            </w:r>
          </w:p>
        </w:tc>
        <w:tc>
          <w:tcPr>
            <w:tcW w:w="2202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before="11"/>
              <w:ind w:left="10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en-US"/>
              </w:rPr>
              <w:t>（邵氏 A）</w:t>
            </w:r>
          </w:p>
        </w:tc>
        <w:tc>
          <w:tcPr>
            <w:tcW w:w="3574" w:type="dxa"/>
            <w:vAlign w:val="center"/>
          </w:tcPr>
          <w:p>
            <w:pPr>
              <w:pStyle w:val="9"/>
              <w:spacing w:before="11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 xml:space="preserve">           70±2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644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before="10"/>
              <w:ind w:left="106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>拉伸强度</w:t>
            </w:r>
          </w:p>
        </w:tc>
        <w:tc>
          <w:tcPr>
            <w:tcW w:w="2202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before="10"/>
              <w:ind w:left="10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en-US"/>
              </w:rPr>
              <w:t>（Mpa）</w:t>
            </w:r>
          </w:p>
        </w:tc>
        <w:tc>
          <w:tcPr>
            <w:tcW w:w="3574" w:type="dxa"/>
            <w:vAlign w:val="center"/>
          </w:tcPr>
          <w:p>
            <w:pPr>
              <w:pStyle w:val="9"/>
              <w:spacing w:before="78"/>
              <w:ind w:right="33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644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before="10"/>
              <w:ind w:left="106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>伸长率</w:t>
            </w:r>
          </w:p>
        </w:tc>
        <w:tc>
          <w:tcPr>
            <w:tcW w:w="2202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before="10"/>
              <w:ind w:left="10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en-US"/>
              </w:rPr>
              <w:t>（%）</w:t>
            </w:r>
          </w:p>
        </w:tc>
        <w:tc>
          <w:tcPr>
            <w:tcW w:w="3574" w:type="dxa"/>
            <w:vAlign w:val="center"/>
          </w:tcPr>
          <w:p>
            <w:pPr>
              <w:pStyle w:val="9"/>
              <w:spacing w:before="78"/>
              <w:ind w:right="33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644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before="12"/>
              <w:ind w:left="106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>撕裂强度</w:t>
            </w:r>
          </w:p>
        </w:tc>
        <w:tc>
          <w:tcPr>
            <w:tcW w:w="2202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before="12"/>
              <w:ind w:left="10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en-US"/>
              </w:rPr>
              <w:t>（KN/M）</w:t>
            </w:r>
          </w:p>
        </w:tc>
        <w:tc>
          <w:tcPr>
            <w:tcW w:w="3574" w:type="dxa"/>
            <w:vAlign w:val="center"/>
          </w:tcPr>
          <w:p>
            <w:pPr>
              <w:pStyle w:val="9"/>
              <w:spacing w:before="80"/>
              <w:ind w:right="33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644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before="11"/>
              <w:ind w:left="106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>可塑度</w:t>
            </w:r>
          </w:p>
        </w:tc>
        <w:tc>
          <w:tcPr>
            <w:tcW w:w="2202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before="11"/>
              <w:ind w:left="106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>-</w:t>
            </w:r>
          </w:p>
        </w:tc>
        <w:tc>
          <w:tcPr>
            <w:tcW w:w="3574" w:type="dxa"/>
            <w:vAlign w:val="center"/>
          </w:tcPr>
          <w:p>
            <w:pPr>
              <w:pStyle w:val="9"/>
              <w:spacing w:before="11"/>
              <w:ind w:left="0" w:right="27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250-280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644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before="11"/>
              <w:ind w:left="106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>收缩率</w:t>
            </w:r>
          </w:p>
        </w:tc>
        <w:tc>
          <w:tcPr>
            <w:tcW w:w="2202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before="11"/>
              <w:ind w:left="106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en-US"/>
              </w:rPr>
              <w:t>（%）</w:t>
            </w:r>
          </w:p>
        </w:tc>
        <w:tc>
          <w:tcPr>
            <w:tcW w:w="3574" w:type="dxa"/>
            <w:vAlign w:val="center"/>
          </w:tcPr>
          <w:p>
            <w:pPr>
              <w:pStyle w:val="9"/>
              <w:spacing w:before="11"/>
              <w:ind w:left="0" w:right="27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2.9-3.5</w:t>
            </w:r>
          </w:p>
        </w:tc>
      </w:tr>
    </w:tbl>
    <w:p>
      <w:pPr>
        <w:spacing w:before="1"/>
        <w:ind w:left="337" w:right="0" w:firstLine="0"/>
        <w:jc w:val="left"/>
        <w:rPr>
          <w:b/>
          <w:sz w:val="22"/>
        </w:rPr>
      </w:pPr>
    </w:p>
    <w:p>
      <w:pPr>
        <w:pStyle w:val="9"/>
        <w:spacing w:line="252" w:lineRule="exact"/>
        <w:jc w:val="left"/>
        <w:rPr>
          <w:rFonts w:hint="eastAsia" w:ascii="宋体" w:hAnsi="宋体" w:eastAsia="宋体" w:cs="宋体"/>
          <w:spacing w:val="-3"/>
          <w:sz w:val="22"/>
          <w:lang w:val="en-US" w:eastAsia="zh-CN"/>
        </w:rPr>
      </w:pPr>
    </w:p>
    <w:p>
      <w:pPr>
        <w:pStyle w:val="9"/>
        <w:spacing w:line="252" w:lineRule="exact"/>
        <w:jc w:val="left"/>
        <w:rPr>
          <w:rFonts w:hint="eastAsia" w:ascii="宋体" w:hAnsi="宋体" w:eastAsia="宋体" w:cs="宋体"/>
          <w:spacing w:val="-3"/>
          <w:sz w:val="22"/>
          <w:lang w:val="en-US" w:eastAsia="zh-CN"/>
        </w:rPr>
      </w:pPr>
    </w:p>
    <w:p>
      <w:pPr>
        <w:pStyle w:val="9"/>
        <w:spacing w:line="252" w:lineRule="exact"/>
        <w:jc w:val="left"/>
        <w:rPr>
          <w:rFonts w:hint="eastAsia" w:ascii="宋体" w:hAnsi="宋体" w:eastAsia="宋体" w:cs="宋体"/>
          <w:spacing w:val="-3"/>
          <w:sz w:val="22"/>
          <w:lang w:val="en-US" w:eastAsia="zh-CN"/>
        </w:rPr>
      </w:pPr>
    </w:p>
    <w:p>
      <w:pPr>
        <w:pStyle w:val="9"/>
        <w:spacing w:line="252" w:lineRule="exact"/>
        <w:jc w:val="left"/>
        <w:rPr>
          <w:rFonts w:hint="eastAsia" w:ascii="宋体" w:hAnsi="宋体" w:eastAsia="宋体" w:cs="宋体"/>
          <w:spacing w:val="-3"/>
          <w:sz w:val="22"/>
          <w:lang w:val="en-US" w:eastAsia="zh-CN"/>
        </w:rPr>
      </w:pPr>
    </w:p>
    <w:p>
      <w:pPr>
        <w:pStyle w:val="9"/>
        <w:spacing w:line="252" w:lineRule="exact"/>
        <w:jc w:val="left"/>
        <w:rPr>
          <w:rFonts w:hint="eastAsia" w:ascii="宋体" w:hAnsi="宋体" w:eastAsia="宋体" w:cs="宋体"/>
          <w:spacing w:val="-3"/>
          <w:sz w:val="22"/>
          <w:lang w:val="en-US" w:eastAsia="zh-CN"/>
        </w:rPr>
      </w:pPr>
    </w:p>
    <w:p>
      <w:pPr>
        <w:pStyle w:val="9"/>
        <w:spacing w:line="252" w:lineRule="exact"/>
        <w:jc w:val="left"/>
        <w:rPr>
          <w:rFonts w:hint="eastAsia" w:ascii="宋体" w:hAnsi="宋体" w:eastAsia="宋体" w:cs="宋体"/>
          <w:spacing w:val="-3"/>
          <w:sz w:val="22"/>
          <w:lang w:val="en-US" w:eastAsia="zh-CN"/>
        </w:rPr>
      </w:pPr>
    </w:p>
    <w:p>
      <w:pPr>
        <w:pStyle w:val="9"/>
        <w:spacing w:line="252" w:lineRule="exact"/>
        <w:jc w:val="left"/>
        <w:rPr>
          <w:rFonts w:hint="eastAsia" w:ascii="宋体" w:hAnsi="宋体" w:eastAsia="宋体" w:cs="宋体"/>
          <w:spacing w:val="-3"/>
          <w:sz w:val="22"/>
          <w:lang w:val="en-US" w:eastAsia="zh-CN"/>
        </w:rPr>
      </w:pPr>
    </w:p>
    <w:p>
      <w:pPr>
        <w:pStyle w:val="9"/>
        <w:spacing w:line="252" w:lineRule="exact"/>
        <w:jc w:val="left"/>
        <w:rPr>
          <w:rFonts w:hint="eastAsia" w:ascii="宋体" w:hAnsi="宋体" w:eastAsia="宋体" w:cs="宋体"/>
          <w:spacing w:val="-3"/>
          <w:sz w:val="22"/>
          <w:lang w:val="en-US" w:eastAsia="zh-CN"/>
        </w:rPr>
      </w:pPr>
    </w:p>
    <w:p>
      <w:pPr>
        <w:pStyle w:val="9"/>
        <w:spacing w:line="252" w:lineRule="exact"/>
        <w:jc w:val="left"/>
        <w:rPr>
          <w:rFonts w:hint="eastAsia" w:ascii="宋体" w:hAnsi="宋体" w:eastAsia="宋体" w:cs="宋体"/>
          <w:spacing w:val="-3"/>
          <w:sz w:val="22"/>
          <w:lang w:val="en-US" w:eastAsia="zh-CN"/>
        </w:rPr>
      </w:pPr>
    </w:p>
    <w:p>
      <w:pPr>
        <w:pStyle w:val="9"/>
        <w:spacing w:line="252" w:lineRule="exact"/>
        <w:jc w:val="left"/>
        <w:rPr>
          <w:rFonts w:hint="eastAsia" w:ascii="宋体" w:hAnsi="宋体" w:eastAsia="宋体" w:cs="宋体"/>
          <w:spacing w:val="-3"/>
          <w:sz w:val="22"/>
          <w:lang w:val="en-US" w:eastAsia="zh-CN"/>
        </w:rPr>
      </w:pPr>
    </w:p>
    <w:p>
      <w:pPr>
        <w:pStyle w:val="9"/>
        <w:spacing w:line="252" w:lineRule="exact"/>
        <w:jc w:val="left"/>
        <w:rPr>
          <w:rFonts w:hint="eastAsia" w:ascii="宋体" w:hAnsi="宋体" w:eastAsia="宋体" w:cs="宋体"/>
          <w:spacing w:val="-3"/>
          <w:sz w:val="22"/>
          <w:lang w:val="en-US" w:eastAsia="zh-CN"/>
        </w:rPr>
      </w:pPr>
    </w:p>
    <w:p>
      <w:pPr>
        <w:pStyle w:val="9"/>
        <w:spacing w:line="252" w:lineRule="exact"/>
        <w:jc w:val="left"/>
        <w:rPr>
          <w:rFonts w:hint="eastAsia" w:ascii="宋体" w:hAnsi="宋体" w:eastAsia="宋体" w:cs="宋体"/>
          <w:spacing w:val="-3"/>
          <w:sz w:val="22"/>
          <w:lang w:val="en-US" w:eastAsia="zh-CN"/>
        </w:rPr>
      </w:pPr>
    </w:p>
    <w:p>
      <w:pPr>
        <w:pStyle w:val="9"/>
        <w:spacing w:line="252" w:lineRule="exact"/>
        <w:jc w:val="left"/>
        <w:rPr>
          <w:rFonts w:hint="eastAsia" w:ascii="宋体" w:hAnsi="宋体" w:eastAsia="宋体" w:cs="宋体"/>
          <w:spacing w:val="-3"/>
          <w:sz w:val="22"/>
          <w:lang w:val="en-US" w:eastAsia="zh-CN"/>
        </w:rPr>
      </w:pPr>
    </w:p>
    <w:p>
      <w:pPr>
        <w:pStyle w:val="9"/>
        <w:spacing w:line="252" w:lineRule="exact"/>
        <w:jc w:val="left"/>
        <w:rPr>
          <w:rFonts w:hint="eastAsia" w:ascii="宋体" w:hAnsi="宋体" w:eastAsia="宋体" w:cs="宋体"/>
          <w:spacing w:val="-3"/>
          <w:sz w:val="22"/>
          <w:lang w:val="en-US" w:eastAsia="zh-CN"/>
        </w:rPr>
      </w:pPr>
    </w:p>
    <w:p>
      <w:pPr>
        <w:pStyle w:val="9"/>
        <w:spacing w:line="252" w:lineRule="exact"/>
        <w:jc w:val="left"/>
        <w:rPr>
          <w:rFonts w:hint="eastAsia" w:ascii="宋体" w:hAnsi="宋体" w:eastAsia="宋体" w:cs="宋体"/>
          <w:spacing w:val="-3"/>
          <w:sz w:val="2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cs="宋体"/>
          <w:b/>
          <w:bCs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硫化条件：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C-15（2.0％）,  17</w:t>
      </w:r>
      <w:r>
        <w:rPr>
          <w:rFonts w:hint="eastAsia" w:cs="宋体"/>
          <w:b w:val="0"/>
          <w:bCs w:val="0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℃×</w:t>
      </w:r>
      <w:r>
        <w:rPr>
          <w:rFonts w:hint="eastAsia" w:cs="宋体"/>
          <w:b w:val="0"/>
          <w:bCs w:val="0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min </w:t>
      </w: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cs="宋体"/>
          <w:b/>
          <w:bCs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lang w:eastAsia="zh-CN"/>
        </w:rPr>
        <w:t>操作条件：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使用时戴上防护眼镜和防护手套</w:t>
      </w:r>
    </w:p>
    <w:p>
      <w:pPr>
        <w:ind w:firstLine="441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存储条件：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低温干燥,远离明火,避免阳光直射。</w:t>
      </w:r>
    </w:p>
    <w:p>
      <w:pPr>
        <w:ind w:firstLine="441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操作注意事项</w:t>
      </w:r>
      <w:r>
        <w:rPr>
          <w:rFonts w:hint="eastAsia" w:cs="宋体"/>
          <w:b/>
          <w:bCs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本资料不包含安全使用所需的产品安全信息。使用前，请阅读产品及其安全数据表</w:t>
      </w:r>
    </w:p>
    <w:p>
      <w:pPr>
        <w:ind w:firstLine="441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cs="宋体"/>
          <w:b w:val="0"/>
          <w:bCs w:val="0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以及容器标签，了解有关产品的安全使用、危害身体及健康的信息。安全数据表</w:t>
      </w:r>
    </w:p>
    <w:p>
      <w:pPr>
        <w:ind w:firstLine="441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cs="宋体"/>
          <w:b w:val="0"/>
          <w:bCs w:val="0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可MSK技术服务中心部或分销商处获得，或者致电康达科技集团联络处。</w:t>
      </w:r>
    </w:p>
    <w:p>
      <w:pPr>
        <w:ind w:firstLine="441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储存与有效性</w:t>
      </w:r>
      <w:r>
        <w:rPr>
          <w:rFonts w:hint="eastAsia" w:cs="宋体"/>
          <w:b/>
          <w:bCs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产品应在 32°C (90°F) 或更低温度下保存于未开封的原装容器中。</w:t>
      </w:r>
    </w:p>
    <w:p>
      <w:pPr>
        <w:ind w:firstLine="441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使用限制</w:t>
      </w:r>
      <w:r>
        <w:rPr>
          <w:rFonts w:hint="eastAsia" w:cs="宋体"/>
          <w:b/>
          <w:bCs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本产品未被测试或陈述为适用于医用或药用。</w:t>
      </w:r>
    </w:p>
    <w:p>
      <w:pPr>
        <w:ind w:firstLine="441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健康和环境信息</w:t>
      </w:r>
      <w:r>
        <w:rPr>
          <w:rFonts w:hint="eastAsia" w:cs="宋体"/>
          <w:b/>
          <w:bCs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为帮助客户安全使用产品，康达科技集团在各地区设立了严格的产品服务组织， </w:t>
      </w:r>
    </w:p>
    <w:p>
      <w:pPr>
        <w:ind w:firstLine="441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cs="宋体"/>
          <w:b w:val="0"/>
          <w:bCs w:val="0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并有</w:t>
      </w:r>
      <w:r>
        <w:rPr>
          <w:rFonts w:hint="eastAsia" w:cs="宋体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一组产品安全和规章规范符合专家来服务客户。</w:t>
      </w:r>
    </w:p>
    <w:p>
      <w:pPr>
        <w:pStyle w:val="9"/>
        <w:spacing w:line="252" w:lineRule="exact"/>
        <w:jc w:val="left"/>
        <w:rPr>
          <w:rFonts w:hint="eastAsia" w:ascii="宋体" w:hAnsi="宋体" w:eastAsia="宋体" w:cs="宋体"/>
          <w:b/>
          <w:bCs/>
          <w:spacing w:val="-3"/>
          <w:sz w:val="22"/>
          <w:lang w:val="en-US" w:eastAsia="zh-CN"/>
        </w:rPr>
      </w:pPr>
    </w:p>
    <w:p>
      <w:pPr>
        <w:pStyle w:val="9"/>
        <w:spacing w:line="252" w:lineRule="exact"/>
        <w:ind w:firstLine="428"/>
        <w:jc w:val="left"/>
        <w:rPr>
          <w:rFonts w:hint="eastAsia" w:ascii="宋体" w:hAnsi="宋体" w:eastAsia="宋体" w:cs="宋体"/>
          <w:b/>
          <w:bCs/>
          <w:color w:val="auto"/>
          <w:spacing w:val="-3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3"/>
          <w:sz w:val="18"/>
          <w:szCs w:val="18"/>
          <w:lang w:val="en-US" w:eastAsia="zh-CN"/>
        </w:rPr>
        <w:t>本资料仅供参考，如有疑问以实测数据为准；硫化剂的品种、添加量以实际生产的产品要求为准；</w:t>
      </w:r>
    </w:p>
    <w:p>
      <w:pPr>
        <w:pStyle w:val="9"/>
        <w:spacing w:line="252" w:lineRule="exact"/>
        <w:jc w:val="left"/>
        <w:rPr>
          <w:rFonts w:hint="eastAsia" w:ascii="宋体" w:hAnsi="宋体" w:eastAsia="宋体" w:cs="宋体"/>
          <w:b/>
          <w:bCs/>
          <w:color w:val="auto"/>
          <w:sz w:val="13"/>
          <w:szCs w:val="24"/>
        </w:rPr>
      </w:pPr>
      <w:r>
        <w:rPr>
          <w:rFonts w:hint="eastAsia" w:cs="宋体"/>
          <w:b/>
          <w:bCs/>
          <w:color w:val="auto"/>
          <w:spacing w:val="-3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pacing w:val="-3"/>
          <w:sz w:val="18"/>
          <w:szCs w:val="18"/>
          <w:lang w:val="en-US" w:eastAsia="zh-CN"/>
        </w:rPr>
        <w:t xml:space="preserve"> 硫化条件以实际生产的产品要求为准。</w:t>
      </w:r>
    </w:p>
    <w:sectPr>
      <w:pgSz w:w="12240" w:h="15840"/>
      <w:pgMar w:top="900" w:right="820" w:bottom="280" w:left="8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modern"/>
    <w:pitch w:val="default"/>
    <w:sig w:usb0="00000287" w:usb1="00000000" w:usb2="00000000" w:usb3="00000000" w:csb0="2000009F" w:csb1="DFD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Arial Black">
    <w:panose1 w:val="020B0A04020102020204"/>
    <w:charset w:val="00"/>
    <w:family w:val="decorative"/>
    <w:pitch w:val="default"/>
    <w:sig w:usb0="00000287" w:usb1="00000000" w:usb2="00000000" w:usb3="00000000" w:csb0="2000009F" w:csb1="DFD70000"/>
  </w:font>
  <w:font w:name="Arial Black">
    <w:panose1 w:val="020B0A04020102020204"/>
    <w:charset w:val="00"/>
    <w:family w:val="roman"/>
    <w:pitch w:val="default"/>
    <w:sig w:usb0="00000287" w:usb1="00000000" w:usb2="00000000" w:usb3="00000000" w:csb0="2000009F" w:csb1="DFD7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swiss"/>
    <w:pitch w:val="default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decorative"/>
    <w:pitch w:val="default"/>
    <w:sig w:usb0="A00002FF" w:usb1="28CFFCFA" w:usb2="00000016" w:usb3="00000000" w:csb0="0010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PMingLiU">
    <w:panose1 w:val="02020500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0E3D"/>
    <w:rsid w:val="049251FB"/>
    <w:rsid w:val="069A5B9A"/>
    <w:rsid w:val="074C3E5A"/>
    <w:rsid w:val="0755069C"/>
    <w:rsid w:val="08694202"/>
    <w:rsid w:val="0A747BDA"/>
    <w:rsid w:val="19AE7A46"/>
    <w:rsid w:val="1AD059DD"/>
    <w:rsid w:val="1C2D6AC9"/>
    <w:rsid w:val="206254F4"/>
    <w:rsid w:val="269F0235"/>
    <w:rsid w:val="328719E7"/>
    <w:rsid w:val="3DBC2042"/>
    <w:rsid w:val="40417395"/>
    <w:rsid w:val="50815613"/>
    <w:rsid w:val="65692337"/>
    <w:rsid w:val="68DA0494"/>
    <w:rsid w:val="71A538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3"/>
      <w:ind w:left="337"/>
      <w:outlineLvl w:val="1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16"/>
      <w:szCs w:val="16"/>
      <w:lang w:val="en-US" w:eastAsia="en-US" w:bidi="en-US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7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pPr>
      <w:ind w:left="3280" w:hanging="360"/>
    </w:pPr>
    <w:rPr>
      <w:rFonts w:ascii="Arial" w:hAnsi="Arial" w:eastAsia="Arial" w:cs="Arial"/>
      <w:lang w:val="en-US" w:eastAsia="en-US" w:bidi="en-US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1069</Words>
  <Characters>1254</Characters>
  <Lines>0</Lines>
  <Paragraphs>0</Paragraphs>
  <ScaleCrop>false</ScaleCrop>
  <LinksUpToDate>false</LinksUpToDate>
  <CharactersWithSpaces>1278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2019-03-13T00:49:00Z</dcterms:created>
  <dc:creator>The Dow Chemical Company</dc:creator>
  <cp:keywords>Dow, Xiameter, XIAMETER RBB-6650-50 Base, 可着色, 将接受延伸填料</cp:keywords>
  <cp:lastModifiedBy>Administrator</cp:lastModifiedBy>
  <dcterms:modified xsi:type="dcterms:W3CDTF">2020-01-09T07:36:51Z</dcterms:modified>
  <dc:subject>多用途有机硅橡胶，适用于各种模压制品</dc:subject>
  <dc:title>XIAMETER RBB-6650-50 Base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2019-03-13T00:00:00Z</vt:filetime>
  </property>
  <property fmtid="{D5CDD505-2E9C-101B-9397-08002B2CF9AE}" pid="5" name="KSOProductBuildVer">
    <vt:lpwstr>2052-10.8.0.5391</vt:lpwstr>
  </property>
</Properties>
</file>