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203"/>
        <w:rPr>
          <w:rFonts w:hint="eastAsia" w:ascii="Times New Roman" w:eastAsia="宋体"/>
          <w:sz w:val="20"/>
          <w:lang w:eastAsia="zh-CN"/>
        </w:rPr>
      </w:pPr>
      <w:r>
        <w:rPr>
          <w:rFonts w:hint="eastAsia" w:ascii="Times New Roman" w:eastAsia="宋体"/>
          <w:sz w:val="20"/>
          <w:lang w:eastAsia="zh-CN"/>
        </w:rPr>
        <w:drawing>
          <wp:inline distT="0" distB="0" distL="114300" distR="114300">
            <wp:extent cx="1183005" cy="558165"/>
            <wp:effectExtent l="0" t="0" r="17145" b="13335"/>
            <wp:docPr id="2" name="图片 2" descr="15524395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43951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8"/>
        <w:rPr>
          <w:rFonts w:hint="eastAsia" w:ascii="Times New Roman" w:eastAsia="宋体"/>
          <w:sz w:val="44"/>
          <w:szCs w:val="44"/>
          <w:lang w:val="en-US" w:eastAsia="zh-CN"/>
        </w:rPr>
      </w:pPr>
      <w:r>
        <w:rPr>
          <w:rFonts w:hint="eastAsia" w:ascii="Times New Roman" w:eastAsia="宋体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Times New Roman" w:eastAsia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高透高抗撕胶/模压型</w:t>
      </w:r>
    </w:p>
    <w:p>
      <w:pPr>
        <w:spacing w:before="0" w:line="240" w:lineRule="auto"/>
        <w:rPr>
          <w:sz w:val="22"/>
        </w:rPr>
      </w:pPr>
    </w:p>
    <w:p>
      <w:pPr>
        <w:spacing w:before="0"/>
        <w:ind w:right="0" w:firstLine="2640" w:firstLineChars="1100"/>
        <w:jc w:val="left"/>
        <w:rPr>
          <w:rFonts w:ascii="Arial Black" w:hAnsi="Arial Black"/>
          <w:sz w:val="24"/>
        </w:rPr>
      </w:pPr>
      <w:r>
        <w:rPr>
          <w:rFonts w:hint="eastAsia" w:ascii="Arial Black" w:hAnsi="Arial Black"/>
          <w:sz w:val="24"/>
          <w:lang w:val="en-US" w:eastAsia="zh-CN"/>
        </w:rPr>
        <w:t xml:space="preserve">             </w:t>
      </w:r>
      <w:r>
        <w:rPr>
          <w:rFonts w:hint="eastAsia" w:ascii="Arial Black" w:hAnsi="Arial Black" w:eastAsia="宋体"/>
          <w:sz w:val="24"/>
          <w:lang w:val="en-US" w:eastAsia="zh-CN"/>
        </w:rPr>
        <w:t>MSK MD</w:t>
      </w:r>
      <w:r>
        <w:rPr>
          <w:rFonts w:hint="eastAsia" w:ascii="Arial Black" w:hAnsi="Arial Black"/>
          <w:sz w:val="24"/>
          <w:lang w:val="en-US" w:eastAsia="zh-CN"/>
        </w:rPr>
        <w:t>14</w:t>
      </w:r>
      <w:r>
        <w:rPr>
          <w:rFonts w:hint="eastAsia" w:ascii="Arial Black" w:hAnsi="Arial Black" w:eastAsia="宋体"/>
          <w:sz w:val="24"/>
          <w:lang w:val="en-US" w:eastAsia="zh-CN"/>
        </w:rPr>
        <w:t>XX</w:t>
      </w:r>
      <w:r>
        <w:rPr>
          <w:rFonts w:hint="eastAsia" w:ascii="Arial Black" w:hAnsi="Arial Black"/>
          <w:sz w:val="24"/>
          <w:lang w:val="en-US" w:eastAsia="zh-CN"/>
        </w:rPr>
        <w:t>SF</w:t>
      </w:r>
      <w:r>
        <w:rPr>
          <w:rFonts w:ascii="Arial Black" w:hAnsi="Arial Black"/>
          <w:sz w:val="24"/>
        </w:rPr>
        <w:t xml:space="preserve"> Bas</w:t>
      </w:r>
    </w:p>
    <w:p>
      <w:pPr>
        <w:spacing w:before="0"/>
        <w:ind w:right="0" w:firstLine="2640" w:firstLineChars="1100"/>
        <w:jc w:val="left"/>
        <w:rPr>
          <w:rFonts w:ascii="Arial Black" w:hAnsi="Arial Black"/>
          <w:sz w:val="24"/>
        </w:rPr>
      </w:pPr>
    </w:p>
    <w:p>
      <w:pPr>
        <w:pStyle w:val="2"/>
        <w:spacing w:before="70"/>
      </w:pPr>
      <w:r>
        <w:rPr>
          <w:rFonts w:hint="eastAsia"/>
          <w:lang w:val="en-US" w:eastAsia="zh-CN"/>
        </w:rPr>
        <w:t xml:space="preserve"> </w:t>
      </w:r>
      <w:r>
        <w:t>技术数据表</w:t>
      </w:r>
    </w:p>
    <w:p/>
    <w:tbl>
      <w:tblPr>
        <w:tblStyle w:val="5"/>
        <w:tblW w:w="9830" w:type="dxa"/>
        <w:tblInd w:w="4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0"/>
        <w:gridCol w:w="6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980" w:type="dxa"/>
          </w:tcPr>
          <w:p>
            <w:pPr>
              <w:pStyle w:val="9"/>
              <w:spacing w:before="14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特性和优点</w:t>
            </w:r>
          </w:p>
        </w:tc>
        <w:tc>
          <w:tcPr>
            <w:tcW w:w="6850" w:type="dxa"/>
            <w:vAlign w:val="center"/>
          </w:tcPr>
          <w:p>
            <w:pPr>
              <w:pStyle w:val="9"/>
              <w:spacing w:line="252" w:lineRule="exact"/>
              <w:ind w:firstLine="856" w:firstLineChars="400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透明度高，撕裂强度高；</w:t>
            </w:r>
          </w:p>
          <w:p>
            <w:pPr>
              <w:pStyle w:val="9"/>
              <w:spacing w:line="252" w:lineRule="exact"/>
              <w:ind w:firstLine="856" w:firstLineChars="400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耐磨性、疲劳性、压缩永久变形性优良；</w:t>
            </w:r>
          </w:p>
          <w:p>
            <w:pPr>
              <w:pStyle w:val="9"/>
              <w:spacing w:line="252" w:lineRule="exact"/>
              <w:ind w:firstLine="856" w:firstLineChars="400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对人体无害。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80" w:type="dxa"/>
          </w:tcPr>
          <w:p>
            <w:pPr>
              <w:pStyle w:val="9"/>
              <w:spacing w:before="13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组成</w:t>
            </w:r>
          </w:p>
        </w:tc>
        <w:tc>
          <w:tcPr>
            <w:tcW w:w="6850" w:type="dxa"/>
            <w:vAlign w:val="center"/>
          </w:tcPr>
          <w:p>
            <w:pPr>
              <w:pStyle w:val="9"/>
              <w:spacing w:line="252" w:lineRule="exact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       有机硅橡胶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980" w:type="dxa"/>
          </w:tcPr>
          <w:p>
            <w:pPr>
              <w:pStyle w:val="9"/>
              <w:spacing w:before="13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应用</w:t>
            </w:r>
          </w:p>
        </w:tc>
        <w:tc>
          <w:tcPr>
            <w:tcW w:w="6850" w:type="dxa"/>
            <w:vAlign w:val="center"/>
          </w:tcPr>
          <w:p>
            <w:pPr>
              <w:pStyle w:val="9"/>
              <w:spacing w:line="252" w:lineRule="exact"/>
              <w:ind w:left="880" w:leftChars="400" w:firstLine="0" w:firstLineChars="0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适用于作要求透明度高、强度好的食品级、特殊要求的产品。</w:t>
            </w:r>
          </w:p>
          <w:p>
            <w:pPr>
              <w:pStyle w:val="9"/>
              <w:spacing w:line="252" w:lineRule="exact"/>
              <w:ind w:firstLine="856" w:firstLineChars="400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硫化后的产品可在-50℃~250℃使用。</w:t>
            </w:r>
          </w:p>
        </w:tc>
      </w:tr>
    </w:tbl>
    <w:p>
      <w:pPr>
        <w:pStyle w:val="3"/>
        <w:spacing w:before="1"/>
        <w:rPr>
          <w:rFonts w:ascii="Arial Black"/>
          <w:sz w:val="17"/>
        </w:rPr>
      </w:pPr>
    </w:p>
    <w:p>
      <w:pPr>
        <w:spacing w:before="1"/>
        <w:ind w:left="337" w:right="0" w:firstLine="0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>典型物性</w:t>
      </w:r>
    </w:p>
    <w:p>
      <w:pPr>
        <w:spacing w:before="1"/>
        <w:ind w:left="337" w:right="0" w:firstLine="0"/>
        <w:jc w:val="left"/>
        <w:rPr>
          <w:b/>
          <w:sz w:val="22"/>
        </w:rPr>
      </w:pPr>
    </w:p>
    <w:tbl>
      <w:tblPr>
        <w:tblStyle w:val="5"/>
        <w:tblW w:w="9782" w:type="dxa"/>
        <w:jc w:val="center"/>
        <w:tblInd w:w="6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057"/>
        <w:gridCol w:w="1035"/>
        <w:gridCol w:w="960"/>
        <w:gridCol w:w="945"/>
        <w:gridCol w:w="1035"/>
        <w:gridCol w:w="60"/>
        <w:gridCol w:w="1185"/>
        <w:gridCol w:w="1065"/>
        <w:gridCol w:w="1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9"/>
              <w:ind w:right="63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 xml:space="preserve">  硫化前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80"/>
              <w:ind w:left="0" w:right="24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MD1415SF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80"/>
              <w:ind w:left="87" w:right="7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MD1420SF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80"/>
              <w:ind w:left="86" w:right="7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MD1430SF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80"/>
              <w:ind w:left="0" w:right="139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MD1440SF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9"/>
              <w:spacing w:before="80"/>
              <w:ind w:left="159" w:right="1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MD1450SF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before="80"/>
              <w:ind w:left="230" w:right="21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MD1460SF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80"/>
              <w:ind w:left="0" w:right="2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MD1470SF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80"/>
              <w:ind w:left="0" w:right="31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MD1480SF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9"/>
              <w:ind w:left="106" w:firstLine="180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外观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9"/>
              <w:ind w:left="0" w:right="22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9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9"/>
              <w:ind w:left="81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9"/>
              <w:ind w:left="0" w:right="15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9"/>
              <w:spacing w:before="9"/>
              <w:ind w:left="151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before="9"/>
              <w:ind w:left="226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9"/>
              <w:ind w:left="0" w:right="29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9"/>
              <w:ind w:left="0" w:right="29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比重（25℃）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11"/>
              <w:ind w:left="0" w:right="18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1.06±0.02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11"/>
              <w:ind w:left="85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1.08±0.02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11"/>
              <w:ind w:left="89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1.13±0.02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11"/>
              <w:ind w:left="0" w:right="11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1.13±0.02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9"/>
              <w:spacing w:before="11"/>
              <w:ind w:left="159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1.16±0.02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before="11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1.18±0.02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11"/>
              <w:ind w:left="0" w:right="25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1.20±0.02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11"/>
              <w:ind w:left="0" w:right="25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1.22±0.02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硫化剂名称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8"/>
              <w:ind w:left="341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85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8"/>
              <w:ind w:left="84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8"/>
              <w:ind w:left="86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9"/>
              <w:spacing w:before="78"/>
              <w:ind w:left="159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before="78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8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8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C-8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硫化剂标准添加量（%）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8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8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8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pStyle w:val="9"/>
              <w:spacing w:before="78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before="78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8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8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82" w:type="dxa"/>
            <w:gridSpan w:val="10"/>
            <w:vAlign w:val="center"/>
          </w:tcPr>
          <w:p>
            <w:pPr>
              <w:pStyle w:val="9"/>
              <w:tabs>
                <w:tab w:val="left" w:pos="6608"/>
              </w:tabs>
              <w:spacing w:before="9"/>
              <w:ind w:firstLine="360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硫 化 后                                (硫化条件：170℃×5min×2mm)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9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外观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9"/>
              <w:ind w:left="0" w:right="22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9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9"/>
              <w:ind w:left="81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9"/>
              <w:ind w:left="0" w:right="15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9"/>
              <w:ind w:left="151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9"/>
              <w:ind w:left="226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9"/>
              <w:ind w:left="0" w:right="29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9"/>
              <w:ind w:left="0" w:right="29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无色透明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9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线收缩率≤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9"/>
              <w:ind w:left="343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3.4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9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3.4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9"/>
              <w:ind w:left="86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3.3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9"/>
              <w:ind w:left="84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9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3.1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79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3.0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9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2.9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9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硬度（邵氏 A）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11"/>
              <w:ind w:left="331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15±2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11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20±2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11"/>
              <w:ind w:left="86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30±2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11"/>
              <w:ind w:left="261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40±2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11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50±2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11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60±2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11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70±2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11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80±2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拉伸强度（Mpa）≥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8"/>
              <w:ind w:left="343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3.5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6.5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8"/>
              <w:ind w:left="86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9.5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8"/>
              <w:ind w:left="84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9.0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78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8.5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8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8.0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8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扯断伸长率（%）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8"/>
              <w:ind w:left="341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750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80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900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8"/>
              <w:ind w:left="84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950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8"/>
              <w:ind w:left="81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900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154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800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78"/>
              <w:ind w:left="225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700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8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650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8"/>
              <w:ind w:left="225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9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扯断永久变形（%）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80"/>
              <w:ind w:left="11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8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80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8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8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8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80"/>
              <w:ind w:left="1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8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2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撕裂强度（KN/M）≥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80"/>
              <w:ind w:left="338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13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80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80"/>
              <w:ind w:left="82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30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80"/>
              <w:ind w:left="84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35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80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40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80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40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80"/>
              <w:ind w:left="225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80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绝缘击穿电压 KV/mm≥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9"/>
              <w:ind w:left="338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9"/>
              <w:ind w:left="82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9"/>
              <w:ind w:left="82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9"/>
              <w:ind w:left="84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9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79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9"/>
              <w:ind w:left="225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9"/>
              <w:ind w:left="227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1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体积电阻率Ω·cm≥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11"/>
              <w:ind w:left="0" w:right="27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 xml:space="preserve"> 1×1014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11"/>
              <w:ind w:left="85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11"/>
              <w:ind w:left="87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11"/>
              <w:ind w:left="218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11"/>
              <w:ind w:left="159" w:right="14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11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11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11"/>
              <w:ind w:left="0" w:right="34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1×1014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384" w:type="dxa"/>
            <w:vAlign w:val="center"/>
          </w:tcPr>
          <w:p>
            <w:pPr>
              <w:pStyle w:val="9"/>
              <w:spacing w:before="10"/>
              <w:ind w:left="106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 w:bidi="en-US"/>
              </w:rPr>
              <w:t>阻燃性</w:t>
            </w:r>
          </w:p>
        </w:tc>
        <w:tc>
          <w:tcPr>
            <w:tcW w:w="1057" w:type="dxa"/>
            <w:vAlign w:val="center"/>
          </w:tcPr>
          <w:p>
            <w:pPr>
              <w:pStyle w:val="9"/>
              <w:spacing w:before="78"/>
              <w:ind w:left="343" w:right="33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87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spacing w:before="78"/>
              <w:ind w:left="86" w:right="74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945" w:type="dxa"/>
            <w:vAlign w:val="center"/>
          </w:tcPr>
          <w:p>
            <w:pPr>
              <w:pStyle w:val="9"/>
              <w:spacing w:before="78"/>
              <w:ind w:left="86" w:right="73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1035" w:type="dxa"/>
            <w:vAlign w:val="center"/>
          </w:tcPr>
          <w:p>
            <w:pPr>
              <w:pStyle w:val="9"/>
              <w:spacing w:before="78"/>
              <w:ind w:left="157" w:right="146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pStyle w:val="9"/>
              <w:spacing w:before="78"/>
              <w:ind w:left="230" w:right="21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1065" w:type="dxa"/>
            <w:vAlign w:val="center"/>
          </w:tcPr>
          <w:p>
            <w:pPr>
              <w:pStyle w:val="9"/>
              <w:spacing w:before="78"/>
              <w:ind w:left="230" w:right="217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  <w:tc>
          <w:tcPr>
            <w:tcW w:w="1056" w:type="dxa"/>
            <w:vAlign w:val="center"/>
          </w:tcPr>
          <w:p>
            <w:pPr>
              <w:pStyle w:val="9"/>
              <w:spacing w:before="78"/>
              <w:ind w:left="230" w:right="21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en-US"/>
              </w:rPr>
              <w:t>FV-1</w:t>
            </w:r>
          </w:p>
        </w:tc>
      </w:tr>
    </w:tbl>
    <w:p>
      <w:pPr>
        <w:pStyle w:val="9"/>
        <w:spacing w:line="252" w:lineRule="exact"/>
        <w:jc w:val="left"/>
        <w:rPr>
          <w:rFonts w:hint="eastAsia" w:ascii="宋体" w:hAnsi="宋体" w:eastAsia="宋体" w:cs="宋体"/>
          <w:spacing w:val="-3"/>
          <w:sz w:val="22"/>
          <w:lang w:val="en-US" w:eastAsia="zh-CN"/>
        </w:rPr>
      </w:pPr>
    </w:p>
    <w:p>
      <w:pPr>
        <w:pStyle w:val="9"/>
        <w:spacing w:line="252" w:lineRule="exact"/>
        <w:jc w:val="left"/>
        <w:rPr>
          <w:rFonts w:hint="eastAsia" w:ascii="宋体" w:hAnsi="宋体" w:eastAsia="宋体" w:cs="宋体"/>
          <w:sz w:val="12"/>
        </w:rPr>
      </w:pPr>
      <w:r>
        <w:rPr>
          <w:rFonts w:hint="eastAsia" w:ascii="宋体" w:hAnsi="宋体" w:eastAsia="宋体" w:cs="宋体"/>
          <w:spacing w:val="-3"/>
          <w:sz w:val="22"/>
          <w:lang w:val="en-US" w:eastAsia="zh-CN"/>
        </w:rPr>
        <w:t>本资料仅供参考，如有疑问以实测数据为准；硫化剂的品种、添加量以实际生产的产品要求为准； 硫化条件以实际生产的产品要求为准。</w:t>
      </w:r>
    </w:p>
    <w:sectPr>
      <w:pgSz w:w="12240" w:h="15840"/>
      <w:pgMar w:top="900" w:right="82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decorative"/>
    <w:pitch w:val="default"/>
    <w:sig w:usb0="00000287" w:usb1="00000000" w:usb2="00000000" w:usb3="00000000" w:csb0="2000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moder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E3D"/>
    <w:rsid w:val="049251FB"/>
    <w:rsid w:val="0755069C"/>
    <w:rsid w:val="08694202"/>
    <w:rsid w:val="19AE7A46"/>
    <w:rsid w:val="1AD059DD"/>
    <w:rsid w:val="1C2D6AC9"/>
    <w:rsid w:val="206254F4"/>
    <w:rsid w:val="269F0235"/>
    <w:rsid w:val="328719E7"/>
    <w:rsid w:val="3DBC2042"/>
    <w:rsid w:val="40417395"/>
    <w:rsid w:val="50815613"/>
    <w:rsid w:val="65692337"/>
    <w:rsid w:val="68DA0494"/>
    <w:rsid w:val="71A538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pPr>
      <w:ind w:left="3280" w:hanging="360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1254</Characters>
  <Lines>0</Lines>
  <Paragraphs>0</Paragraphs>
  <ScaleCrop>false</ScaleCrop>
  <LinksUpToDate>false</LinksUpToDate>
  <CharactersWithSpaces>1278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2019-03-13T00:49:00Z</dcterms:created>
  <dc:creator>The Dow Chemical Company</dc:creator>
  <cp:keywords>Dow, Xiameter, XIAMETER RBB-6650-50 Base, 可着色, 将接受延伸填料</cp:keywords>
  <cp:lastModifiedBy>Administrator</cp:lastModifiedBy>
  <dcterms:modified xsi:type="dcterms:W3CDTF">2019-10-10T01:08:00Z</dcterms:modified>
  <dc:subject>多用途有机硅橡胶，适用于各种模压制品</dc:subject>
  <dc:title>XIAMETER RBB-6650-50 Base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2019-03-13T00:00:00Z</vt:filetime>
  </property>
  <property fmtid="{D5CDD505-2E9C-101B-9397-08002B2CF9AE}" pid="5" name="KSOProductBuildVer">
    <vt:lpwstr>2052-10.8.0.5391</vt:lpwstr>
  </property>
</Properties>
</file>