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45"/>
        <w:ind w:right="0"/>
        <w:jc w:val="center"/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>MSK 阻燃导热粘接胶 MR6233</w:t>
      </w:r>
    </w:p>
    <w:p>
      <w:pPr>
        <w:widowControl/>
        <w:autoSpaceDE/>
        <w:autoSpaceDN/>
        <w:spacing w:before="39" w:after="0" w:line="240" w:lineRule="auto"/>
        <w:ind w:left="218" w:leftChars="99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18" w:leftChars="99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pStyle w:val="3"/>
        <w:tabs>
          <w:tab w:val="left" w:pos="479"/>
        </w:tabs>
        <w:spacing w:before="102" w:line="240" w:lineRule="auto"/>
        <w:ind w:left="121" w:right="114" w:firstLine="42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spacing w:val="-3"/>
        </w:rPr>
        <w:t>单组分室温硫化硅橡胶，白色膏状湿气固化，固化后胶层为弹性体</w:t>
      </w:r>
      <w:r>
        <w:rPr>
          <w:rFonts w:hint="eastAsia"/>
          <w:spacing w:val="-3"/>
          <w:lang w:eastAsia="zh-CN"/>
        </w:rPr>
        <w:t>，具有</w:t>
      </w:r>
      <w:bookmarkStart w:id="0" w:name="_GoBack"/>
      <w:bookmarkEnd w:id="0"/>
      <w:r>
        <w:rPr>
          <w:rFonts w:hint="eastAsia"/>
          <w:spacing w:val="-3"/>
          <w:lang w:eastAsia="zh-CN"/>
        </w:rPr>
        <w:t>导热性、</w:t>
      </w:r>
      <w:r>
        <w:rPr>
          <w:rFonts w:hint="eastAsia"/>
          <w:spacing w:val="-3"/>
          <w:lang w:val="en-US" w:eastAsia="zh-CN"/>
        </w:rPr>
        <w:t>绝缘性优、粘接性好，防潮、抗震、耐电晕、抗漏电，对金属和大多数塑料的粘接性良好，固化后具有卓越的抗冷热交变性能(-40℃～180℃)，特别适用于小型电子元器件和线路板的粘接密封，与一般有机硅粘合剂相比，具有对基材优异的粘附性、防潮性能和优异的阻燃性能，阻燃性能达到 UL 94 V-0 级别。</w:t>
      </w:r>
    </w:p>
    <w:p>
      <w:pPr>
        <w:pStyle w:val="3"/>
        <w:tabs>
          <w:tab w:val="left" w:pos="479"/>
        </w:tabs>
        <w:spacing w:before="102" w:line="240" w:lineRule="auto"/>
        <w:ind w:left="121" w:right="114" w:firstLine="42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sectPr>
          <w:headerReference r:id="rId3" w:type="default"/>
          <w:type w:val="continuous"/>
          <w:pgSz w:w="11910" w:h="16840"/>
          <w:pgMar w:top="840" w:right="1480" w:bottom="280" w:left="720" w:header="60" w:footer="720" w:gutter="0"/>
        </w:sectPr>
      </w:pP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产品特点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不起雾，低挥发 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对各类材料粘接强度高 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对基材无腐蚀 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工作温度-40℃～180℃，在此温度范围内可保持稳定性和柔韧性 </w:t>
      </w:r>
    </w:p>
    <w:p>
      <w:pPr>
        <w:widowControl/>
        <w:autoSpaceDE/>
        <w:autoSpaceDN/>
        <w:spacing w:before="39" w:after="0" w:line="240" w:lineRule="auto"/>
        <w:ind w:left="0" w:leftChars="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cs="楷体"/>
          <w:b/>
          <w:bCs/>
          <w:sz w:val="24"/>
          <w:szCs w:val="22"/>
          <w:lang w:val="en-US" w:eastAsia="zh-CN" w:bidi="en-US"/>
        </w:rPr>
        <w:t>典型</w:t>
      </w: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粘接固定 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灯具组件的导热粘接 </w:t>
      </w:r>
    </w:p>
    <w:p>
      <w:pPr>
        <w:pStyle w:val="9"/>
        <w:numPr>
          <w:ilvl w:val="0"/>
          <w:numId w:val="1"/>
        </w:numPr>
        <w:tabs>
          <w:tab w:val="left" w:pos="295"/>
        </w:tabs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大功率发热元件与散热器导热粘接 </w:t>
      </w:r>
    </w:p>
    <w:p>
      <w:pPr>
        <w:spacing w:before="0"/>
        <w:ind w:left="0" w:leftChars="0" w:right="0" w:firstLine="0" w:firstLineChars="0"/>
        <w:jc w:val="left"/>
        <w:rPr>
          <w:rFonts w:hint="eastAsia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</w:t>
      </w:r>
      <w:r>
        <w:rPr>
          <w:rFonts w:hint="eastAsia" w:cs="楷体"/>
          <w:b/>
          <w:bCs/>
          <w:sz w:val="24"/>
          <w:szCs w:val="22"/>
          <w:lang w:val="en-US" w:eastAsia="zh-CN" w:bidi="en-US"/>
        </w:rPr>
        <w:t>说明</w:t>
      </w:r>
    </w:p>
    <w:p>
      <w:pPr>
        <w:pStyle w:val="3"/>
        <w:tabs>
          <w:tab w:val="left" w:pos="479"/>
        </w:tabs>
        <w:spacing w:before="102" w:line="240" w:lineRule="auto"/>
        <w:ind w:left="121" w:right="114" w:firstLine="420"/>
        <w:jc w:val="both"/>
        <w:rPr>
          <w:rFonts w:hint="eastAsia"/>
          <w:spacing w:val="-3"/>
          <w:lang w:val="en-US" w:eastAsia="zh-CN"/>
        </w:rPr>
      </w:pPr>
      <w:r>
        <w:rPr>
          <w:spacing w:val="-3"/>
        </w:rPr>
        <w:t>胶水在贮存过程中，会存在轻微的变黄，不影响产品性能。</w:t>
      </w:r>
    </w:p>
    <w:p>
      <w:pPr>
        <w:spacing w:before="0"/>
        <w:ind w:left="1054" w:right="-220" w:rightChars="-100" w:hanging="1054" w:hangingChars="50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sz w:val="21"/>
          <w:szCs w:val="21"/>
        </w:rPr>
        <w:t>清洁表面：</w:t>
      </w:r>
      <w:r>
        <w:rPr>
          <w:rFonts w:hint="eastAsia" w:ascii="楷体" w:hAnsi="楷体" w:eastAsia="楷体" w:cs="楷体"/>
          <w:sz w:val="21"/>
          <w:szCs w:val="21"/>
        </w:rPr>
        <w:t>将被施胶物体的表面清理干净,除去锈迹、灰尘和油污等。</w:t>
      </w:r>
    </w:p>
    <w:p>
      <w:pPr>
        <w:spacing w:before="0"/>
        <w:ind w:left="0" w:leftChars="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使用说明：</w:t>
      </w:r>
    </w:p>
    <w:p>
      <w:pPr>
        <w:spacing w:before="0"/>
        <w:ind w:left="1054" w:leftChars="0" w:right="-220" w:rightChars="-100" w:hanging="1054" w:hangingChars="500"/>
        <w:jc w:val="left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清洁表面：</w:t>
      </w:r>
      <w:r>
        <w:rPr>
          <w:rFonts w:hint="eastAsia" w:ascii="楷体" w:hAnsi="楷体" w:eastAsia="楷体" w:cs="楷体"/>
          <w:sz w:val="21"/>
          <w:szCs w:val="21"/>
        </w:rPr>
        <w:t>将被施胶物体的表面清理干净,除去锈迹、灰尘和油污等。</w:t>
      </w:r>
    </w:p>
    <w:p>
      <w:pPr>
        <w:spacing w:before="39" w:line="240" w:lineRule="auto"/>
        <w:ind w:left="-220" w:leftChars="-100" w:right="140" w:firstLine="211" w:firstLineChars="100"/>
        <w:jc w:val="left"/>
        <w:rPr>
          <w:rFonts w:hint="eastAsia" w:ascii="楷体" w:hAnsi="楷体" w:eastAsia="楷体" w:cs="楷体"/>
          <w:sz w:val="21"/>
          <w:szCs w:val="21"/>
          <w:lang w:val="en-US" w:eastAsia="en-US" w:bidi="en-US"/>
        </w:rPr>
      </w:pPr>
      <w:r>
        <w:rPr>
          <w:rFonts w:hint="eastAsia" w:ascii="楷体" w:hAnsi="楷体" w:eastAsia="楷体" w:cs="楷体"/>
          <w:b/>
          <w:sz w:val="21"/>
          <w:szCs w:val="21"/>
          <w:lang w:val="en-US" w:eastAsia="en-US" w:bidi="en-US"/>
        </w:rPr>
        <w:t>施 胶：</w:t>
      </w:r>
      <w:r>
        <w:rPr>
          <w:rFonts w:hint="eastAsia" w:cs="楷体"/>
          <w:b/>
          <w:sz w:val="21"/>
          <w:szCs w:val="21"/>
          <w:lang w:val="en-US" w:eastAsia="zh-CN" w:bidi="en-US"/>
        </w:rPr>
        <w:t xml:space="preserve">  </w:t>
      </w:r>
      <w:r>
        <w:rPr>
          <w:rFonts w:hint="eastAsia" w:ascii="楷体" w:hAnsi="楷体" w:eastAsia="楷体" w:cs="楷体"/>
          <w:sz w:val="21"/>
          <w:szCs w:val="21"/>
          <w:lang w:val="en-US" w:eastAsia="en-US" w:bidi="en-US"/>
        </w:rPr>
        <w:t>将胶液挤到已清理干净的表面。</w:t>
      </w:r>
    </w:p>
    <w:p>
      <w:pPr>
        <w:tabs>
          <w:tab w:val="left" w:pos="8800"/>
        </w:tabs>
        <w:spacing w:before="39" w:line="240" w:lineRule="auto"/>
        <w:ind w:left="834" w:leftChars="-4" w:right="-410" w:rightChars="0" w:hanging="843" w:hangingChars="400"/>
        <w:jc w:val="left"/>
        <w:rPr>
          <w:rFonts w:hint="eastAsia" w:ascii="楷体" w:hAnsi="楷体" w:eastAsia="楷体" w:cs="楷体"/>
          <w:sz w:val="21"/>
          <w:szCs w:val="21"/>
          <w:lang w:val="en-US" w:eastAsia="en-US" w:bidi="en-US"/>
        </w:rPr>
      </w:pPr>
      <w:r>
        <w:rPr>
          <w:rFonts w:hint="eastAsia" w:ascii="楷体" w:hAnsi="楷体" w:eastAsia="楷体" w:cs="楷体"/>
          <w:b/>
          <w:sz w:val="21"/>
          <w:szCs w:val="21"/>
          <w:lang w:val="en-US" w:eastAsia="en-US" w:bidi="en-US"/>
        </w:rPr>
        <w:t>固 化：</w:t>
      </w:r>
      <w:r>
        <w:rPr>
          <w:rFonts w:hint="eastAsia" w:cs="楷体"/>
          <w:sz w:val="21"/>
          <w:szCs w:val="21"/>
          <w:lang w:val="en-US" w:eastAsia="zh-CN" w:bidi="en-US"/>
        </w:rPr>
        <w:t xml:space="preserve"> </w:t>
      </w:r>
      <w:r>
        <w:rPr>
          <w:rFonts w:hint="eastAsia" w:ascii="楷体" w:hAnsi="楷体" w:eastAsia="楷体" w:cs="楷体"/>
          <w:sz w:val="21"/>
          <w:szCs w:val="21"/>
          <w:lang w:val="en-US" w:eastAsia="en-US" w:bidi="en-US"/>
        </w:rPr>
        <w:t>施胶的部件置于空气中，当表皮形成后，紧</w:t>
      </w:r>
    </w:p>
    <w:p>
      <w:pPr>
        <w:tabs>
          <w:tab w:val="left" w:pos="8800"/>
        </w:tabs>
        <w:spacing w:before="39" w:line="240" w:lineRule="auto"/>
        <w:ind w:left="827" w:leftChars="376" w:right="-410" w:rightChars="0" w:firstLine="0" w:firstLineChars="0"/>
        <w:jc w:val="left"/>
        <w:rPr>
          <w:rFonts w:hint="eastAsia" w:ascii="楷体" w:hAnsi="楷体" w:eastAsia="楷体" w:cs="楷体"/>
          <w:sz w:val="21"/>
          <w:szCs w:val="21"/>
          <w:lang w:val="en-US" w:eastAsia="en-US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en-US" w:bidi="en-US"/>
        </w:rPr>
        <w:t>接着就是从表面向内部的固化过程在 25℃及 55%相对湿度条件下固化 24 小时</w:t>
      </w: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en-US" w:bidi="en-US"/>
        </w:rPr>
        <w:t>胶水的固</w:t>
      </w:r>
    </w:p>
    <w:p>
      <w:pPr>
        <w:tabs>
          <w:tab w:val="left" w:pos="8800"/>
        </w:tabs>
        <w:spacing w:before="39" w:line="240" w:lineRule="auto"/>
        <w:ind w:left="827" w:leftChars="376" w:right="-410" w:rightChars="0" w:firstLine="0" w:firstLineChars="0"/>
        <w:jc w:val="left"/>
        <w:rPr>
          <w:rFonts w:hint="eastAsia" w:ascii="楷体" w:hAnsi="楷体" w:eastAsia="楷体" w:cs="楷体"/>
          <w:sz w:val="21"/>
          <w:szCs w:val="21"/>
          <w:lang w:val="en-US" w:eastAsia="en-US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en-US" w:bidi="en-US"/>
        </w:rPr>
        <w:t>化深度为2～4mm，随时间延长</w:t>
      </w: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，</w:t>
      </w:r>
      <w:r>
        <w:rPr>
          <w:rFonts w:hint="eastAsia" w:ascii="楷体" w:hAnsi="楷体" w:eastAsia="楷体" w:cs="楷体"/>
          <w:sz w:val="21"/>
          <w:szCs w:val="21"/>
          <w:lang w:val="en-US" w:eastAsia="en-US" w:bidi="en-US"/>
        </w:rPr>
        <w:t>固化深度逐</w:t>
      </w:r>
    </w:p>
    <w:p>
      <w:pPr>
        <w:tabs>
          <w:tab w:val="left" w:pos="8800"/>
        </w:tabs>
        <w:spacing w:before="39" w:line="240" w:lineRule="auto"/>
        <w:ind w:left="827" w:leftChars="376" w:right="-410" w:rightChars="0" w:firstLine="0" w:firstLineChars="0"/>
        <w:jc w:val="left"/>
        <w:rPr>
          <w:rFonts w:hint="eastAsia" w:ascii="楷体" w:hAnsi="楷体" w:eastAsia="楷体" w:cs="楷体"/>
          <w:sz w:val="21"/>
          <w:szCs w:val="21"/>
          <w:lang w:val="en-US" w:eastAsia="en-US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en-US" w:bidi="en-US"/>
        </w:rPr>
        <w:t>渐增加。</w:t>
      </w:r>
    </w:p>
    <w:p>
      <w:pPr>
        <w:tabs>
          <w:tab w:val="left" w:pos="8800"/>
        </w:tabs>
        <w:spacing w:before="39" w:line="240" w:lineRule="auto"/>
        <w:ind w:left="827" w:leftChars="376" w:right="-410" w:rightChars="0" w:firstLine="0" w:firstLineChars="0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</w:p>
    <w:p>
      <w:pPr>
        <w:tabs>
          <w:tab w:val="left" w:pos="8800"/>
        </w:tabs>
        <w:spacing w:before="39" w:line="240" w:lineRule="auto"/>
        <w:ind w:left="827" w:leftChars="376" w:right="-410" w:rightChars="0" w:firstLine="0" w:firstLineChars="0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</w:p>
    <w:p>
      <w:pPr>
        <w:spacing w:before="0"/>
        <w:ind w:left="0" w:leftChars="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技术参考：</w:t>
      </w:r>
    </w:p>
    <w:tbl>
      <w:tblPr>
        <w:tblStyle w:val="7"/>
        <w:tblW w:w="5194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187"/>
        <w:gridCol w:w="1075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63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参考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标准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项 目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单 位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范 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194" w:type="dxa"/>
            <w:gridSpan w:val="4"/>
            <w:vAlign w:val="center"/>
          </w:tcPr>
          <w:p>
            <w:pPr>
              <w:pStyle w:val="10"/>
              <w:spacing w:before="118"/>
              <w:ind w:left="112" w:right="0"/>
              <w:jc w:val="center"/>
              <w:rPr>
                <w:b/>
                <w:sz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 w:bidi="en-US"/>
              </w:rPr>
              <w:t>常规特性</w:t>
            </w:r>
            <w:r>
              <w:rPr>
                <w:b/>
                <w:sz w:val="21"/>
              </w:rPr>
              <w:t xml:space="preserve"> (25±2℃，50-60%RH)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1"/>
              </w:rPr>
            </w:pPr>
            <w:r>
              <w:rPr>
                <w:sz w:val="22"/>
              </w:rPr>
              <w:t>GB/T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14074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外观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白色膏状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13354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密度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spacing w:before="0"/>
              <w:ind w:left="0" w:leftChars="0" w:firstLine="0" w:firstLineChars="0"/>
              <w:jc w:val="center"/>
              <w:rPr>
                <w:sz w:val="18"/>
              </w:rPr>
            </w:pPr>
            <w:r>
              <w:rPr>
                <w:sz w:val="18"/>
              </w:rPr>
              <w:t>g/cm</w:t>
            </w:r>
            <w:r>
              <w:rPr>
                <w:position w:val="9"/>
                <w:sz w:val="9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2.60±0.1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13477.5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表干时间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min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≤15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13477.4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挤出速率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g/15s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80-110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194" w:type="dxa"/>
            <w:gridSpan w:val="4"/>
            <w:vAlign w:val="center"/>
          </w:tcPr>
          <w:p>
            <w:pPr>
              <w:pStyle w:val="10"/>
              <w:spacing w:before="128"/>
              <w:ind w:left="112" w:right="0"/>
              <w:jc w:val="center"/>
              <w:rPr>
                <w:b/>
                <w:sz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 w:bidi="en-US"/>
              </w:rPr>
              <w:t>固化后特性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 xml:space="preserve"> </w:t>
            </w:r>
            <w:r>
              <w:rPr>
                <w:b/>
                <w:sz w:val="21"/>
              </w:rPr>
              <w:t>（25±2℃，50-60%RH，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 w:bidi="en-US"/>
              </w:rPr>
              <w:t xml:space="preserve">固化 </w:t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7 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 w:bidi="en-US"/>
              </w:rPr>
              <w:t>天</w:t>
            </w:r>
            <w:r>
              <w:rPr>
                <w:b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531.1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硬度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Shore A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60±5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ASTM D5470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导热系数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W/m.k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≥1.50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528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拉伸强度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MPa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≥1.50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528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断裂伸长率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≥80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529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撕裂强度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KN/m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≥3.0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1695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介电强度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kV/mm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≥20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1693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介电常数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≥2.8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6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GB/T 1692</w:t>
            </w:r>
          </w:p>
        </w:tc>
        <w:tc>
          <w:tcPr>
            <w:tcW w:w="1187" w:type="dxa"/>
            <w:vAlign w:val="center"/>
          </w:tcPr>
          <w:p>
            <w:pPr>
              <w:pStyle w:val="10"/>
              <w:spacing w:before="0" w:line="246" w:lineRule="exact"/>
              <w:ind w:left="0" w:leftChars="0" w:right="0" w:firstLine="0" w:firstLineChars="0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 w:bidi="en-US"/>
              </w:rPr>
              <w:t>体积电阻率</w:t>
            </w:r>
          </w:p>
        </w:tc>
        <w:tc>
          <w:tcPr>
            <w:tcW w:w="10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Ω·cm</w:t>
            </w:r>
          </w:p>
        </w:tc>
        <w:tc>
          <w:tcPr>
            <w:tcW w:w="1369" w:type="dxa"/>
            <w:vAlign w:val="center"/>
          </w:tcPr>
          <w:p>
            <w:pPr>
              <w:pStyle w:val="10"/>
              <w:tabs>
                <w:tab w:val="center" w:pos="614"/>
              </w:tabs>
              <w:spacing w:before="139"/>
              <w:ind w:left="0" w:leftChars="0" w:firstLine="0" w:firstLineChars="0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≥1×10</w:t>
            </w:r>
            <w:r>
              <w:rPr>
                <w:position w:val="11"/>
                <w:sz w:val="11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194" w:type="dxa"/>
            <w:gridSpan w:val="4"/>
          </w:tcPr>
          <w:p>
            <w:pPr>
              <w:pStyle w:val="10"/>
              <w:spacing w:before="0" w:line="230" w:lineRule="exact"/>
              <w:ind w:left="4" w:right="0"/>
              <w:jc w:val="left"/>
              <w:rPr>
                <w:rFonts w:hint="eastAsia" w:ascii="楷体" w:hAnsi="楷体" w:eastAsia="楷体" w:cs="楷体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en-US" w:bidi="en-US"/>
              </w:rPr>
              <w:t xml:space="preserve">注: 1.最新版本适用于本文件。 </w:t>
            </w:r>
          </w:p>
          <w:p>
            <w:pPr>
              <w:pStyle w:val="10"/>
              <w:spacing w:before="103"/>
              <w:ind w:left="0" w:leftChars="0" w:right="0" w:firstLine="0" w:firstLineChars="0"/>
              <w:jc w:val="left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en-US" w:bidi="en-US"/>
              </w:rPr>
              <w:t xml:space="preserve">2.用 3mm 直径的喷嘴在 0.4MPa 气压下测定挤出速率。 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840" w:right="1480" w:bottom="280" w:left="940" w:header="720" w:footer="720" w:gutter="0"/>
          <w:cols w:equalWidth="0" w:num="2">
            <w:col w:w="4840" w:space="117"/>
            <w:col w:w="4532"/>
          </w:cols>
        </w:sectPr>
      </w:pP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left="174" w:leftChars="-399" w:right="-629" w:rightChars="-286" w:hanging="1052" w:hangingChars="501"/>
        <w:jc w:val="left"/>
      </w:pP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Fonts w:hint="eastAsia" w:cs="楷体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1"/>
          <w:szCs w:val="21"/>
          <w:lang w:val="en-US" w:eastAsia="en-US" w:bidi="en-US"/>
        </w:rPr>
        <w:t>存</w:t>
      </w:r>
      <w:r>
        <w:rPr>
          <w:rFonts w:hint="eastAsia" w:ascii="楷体" w:hAnsi="楷体" w:eastAsia="楷体" w:cs="楷体"/>
          <w:b/>
          <w:sz w:val="21"/>
          <w:szCs w:val="21"/>
          <w:lang w:val="en-US" w:eastAsia="zh-CN" w:bidi="en-US"/>
        </w:rPr>
        <w:t xml:space="preserve"> </w:t>
      </w:r>
      <w:r>
        <w:rPr>
          <w:rFonts w:hint="eastAsia" w:ascii="楷体" w:hAnsi="楷体" w:eastAsia="楷体" w:cs="楷体"/>
          <w:b/>
          <w:sz w:val="21"/>
          <w:szCs w:val="21"/>
          <w:lang w:val="en-US" w:eastAsia="en-US" w:bidi="en-US"/>
        </w:rPr>
        <w:t>放：</w:t>
      </w:r>
      <w:r>
        <w:rPr>
          <w:rFonts w:hint="eastAsia" w:ascii="楷体" w:hAnsi="楷体" w:eastAsia="楷体" w:cs="楷体"/>
          <w:sz w:val="21"/>
          <w:szCs w:val="21"/>
          <w:lang w:val="en-US" w:eastAsia="en-US" w:bidi="en-US"/>
        </w:rPr>
        <w:t xml:space="preserve">未用完的胶应立即拧紧盖帽，密封保存。再次使用时，若封口处有少许结皮，将其去除即可，不影响正常使用。胶在贮存过程中，管口部也有可能出现少量的固化现象，将之清除后可正常使用，不影响产品性能。 </w:t>
      </w:r>
    </w:p>
    <w:p>
      <w:pPr>
        <w:spacing w:before="0"/>
        <w:ind w:left="-660" w:leftChars="-300" w:right="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贮存条件：</w:t>
      </w:r>
    </w:p>
    <w:p>
      <w:pPr>
        <w:pStyle w:val="3"/>
        <w:spacing w:before="102" w:line="240" w:lineRule="auto"/>
        <w:ind w:left="-659" w:leftChars="0" w:right="114" w:firstLine="439" w:firstLineChars="0"/>
        <w:jc w:val="both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在≤35℃阴凉干燥处贮存贮存期： 6 个月 </w:t>
      </w:r>
    </w:p>
    <w:p>
      <w:pPr>
        <w:spacing w:before="39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  <w:r>
        <w:rPr>
          <w:rFonts w:hint="eastAsia" w:cs="楷体"/>
          <w:b/>
          <w:bCs/>
          <w:sz w:val="24"/>
          <w:szCs w:val="22"/>
          <w:lang w:val="en-US" w:eastAsia="zh-CN" w:bidi="en-US"/>
        </w:rPr>
        <w:t>：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left="-2" w:leftChars="-100" w:right="0" w:rightChars="0" w:hanging="218" w:hangingChars="104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1、远离儿童。 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left="-220" w:leftChars="-100" w:right="0" w:rightChars="0" w:firstLine="0" w:firstLineChars="0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2、建议在通风良好处使用降低气味。 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left="-2" w:leftChars="-100" w:right="0" w:rightChars="0" w:hanging="218" w:hangingChars="104"/>
        <w:jc w:val="left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3、若不慎接触皮肤；若不慎接触眼睛，立即擦拭干净，然后用清水冲洗并到医院就医。 </w:t>
      </w:r>
    </w:p>
    <w:p>
      <w:pPr>
        <w:pStyle w:val="9"/>
        <w:numPr>
          <w:ilvl w:val="0"/>
          <w:numId w:val="0"/>
        </w:numPr>
        <w:tabs>
          <w:tab w:val="left" w:pos="295"/>
        </w:tabs>
        <w:spacing w:before="5" w:after="0" w:line="240" w:lineRule="auto"/>
        <w:ind w:left="-220" w:leftChars="-100" w:right="0" w:rightChars="0" w:firstLine="0" w:firstLineChars="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4、安全性资料请参阅产品的MSDS。</w:t>
      </w: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 xml:space="preserve"> </w:t>
      </w:r>
    </w:p>
    <w:p>
      <w:pPr>
        <w:spacing w:before="39" w:line="240" w:lineRule="auto"/>
        <w:ind w:left="-660" w:leftChars="-3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包装规格：</w:t>
      </w:r>
    </w:p>
    <w:p>
      <w:pPr>
        <w:pStyle w:val="3"/>
        <w:spacing w:before="57"/>
        <w:ind w:left="-202" w:leftChars="-100" w:hanging="18" w:hangingChars="9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100ml/支 100支/箱 </w:t>
      </w:r>
    </w:p>
    <w:p>
      <w:pPr>
        <w:pStyle w:val="3"/>
        <w:spacing w:before="57"/>
        <w:ind w:left="-202" w:leftChars="-100" w:hanging="18" w:hangingChars="9"/>
        <w:rPr>
          <w:rFonts w:hint="eastAsia" w:ascii="楷体" w:hAnsi="楷体" w:eastAsia="楷体" w:cs="楷体"/>
          <w:sz w:val="21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 xml:space="preserve">300ml/支 24支/箱 </w:t>
      </w:r>
    </w:p>
    <w:p>
      <w:pPr>
        <w:pStyle w:val="3"/>
        <w:spacing w:before="57"/>
        <w:ind w:left="-202" w:leftChars="-100" w:hanging="18" w:hangingChars="9"/>
        <w:rPr>
          <w:sz w:val="22"/>
          <w:szCs w:val="21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 w:bidi="en-US"/>
        </w:rPr>
        <w:t>2600ml/支 4支/箱</w:t>
      </w:r>
    </w:p>
    <w:sectPr>
      <w:type w:val="continuous"/>
      <w:pgSz w:w="11910" w:h="16840"/>
      <w:pgMar w:top="840" w:right="1480" w:bottom="280" w:left="1600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swiss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decorative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03350"/>
          <wp:effectExtent l="0" t="0" r="0" b="6350"/>
          <wp:docPr id="7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52DB"/>
    <w:rsid w:val="0C9C47EC"/>
    <w:rsid w:val="1F5360FF"/>
    <w:rsid w:val="200239B8"/>
    <w:rsid w:val="25B4705F"/>
    <w:rsid w:val="260D4314"/>
    <w:rsid w:val="32D25786"/>
    <w:rsid w:val="38041DB3"/>
    <w:rsid w:val="3F724832"/>
    <w:rsid w:val="5505544A"/>
    <w:rsid w:val="5D204AC4"/>
    <w:rsid w:val="62357639"/>
    <w:rsid w:val="6A242BAE"/>
    <w:rsid w:val="6B13759D"/>
    <w:rsid w:val="70CE67FA"/>
    <w:rsid w:val="72247A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4"/>
      <w:ind w:left="764" w:hanging="86"/>
    </w:pPr>
    <w:rPr>
      <w:rFonts w:ascii="楷体" w:hAnsi="楷体" w:eastAsia="楷体" w:cs="楷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pPr>
      <w:spacing w:before="50"/>
      <w:ind w:left="95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2020-04-09T01:39:00Z</dcterms:created>
  <dc:creator>Administrator</dc:creator>
  <cp:lastModifiedBy>Administrator</cp:lastModifiedBy>
  <dcterms:modified xsi:type="dcterms:W3CDTF">2020-06-19T07:22:06Z</dcterms:modified>
  <dc:title>TDS TBL-6238-2.0.doc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TDS TBL-6238-2.0.doc - WPS 文字 - 兼容模式</vt:lpwstr>
  </property>
  <property fmtid="{D5CDD505-2E9C-101B-9397-08002B2CF9AE}" pid="4" name="LastSaved">
    <vt:filetime>2020-04-09T00:00:00Z</vt:filetime>
  </property>
  <property fmtid="{D5CDD505-2E9C-101B-9397-08002B2CF9AE}" pid="5" name="KSOProductBuildVer">
    <vt:lpwstr>2052-10.8.0.5391</vt:lpwstr>
  </property>
</Properties>
</file>