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10" w:lineRule="auto"/>
        <w:jc w:val="center"/>
        <w:rPr>
          <w:rFonts w:hint="default" w:ascii="宋体" w:hAnsi="宋体" w:eastAsia="宋体"/>
          <w:b/>
          <w:sz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lang w:val="en-US" w:eastAsia="zh-CN"/>
        </w:rPr>
        <w:t>低挥发份含氢硅油LF-007P</w:t>
      </w:r>
    </w:p>
    <w:p>
      <w:pPr>
        <w:spacing w:line="209" w:lineRule="exact"/>
        <w:rPr>
          <w:rFonts w:ascii="Times New Roman" w:hAnsi="Times New Roman" w:eastAsia="Times New Roman"/>
          <w:sz w:val="24"/>
        </w:rPr>
      </w:pPr>
    </w:p>
    <w:p>
      <w:pPr>
        <w:spacing w:line="7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b/>
          <w:sz w:val="24"/>
        </w:rPr>
      </w:pPr>
      <w:r>
        <w:rPr>
          <w:rFonts w:ascii="MingLiU" w:hAnsi="MingLiU" w:eastAsia="MingLiU"/>
          <w:b/>
          <w:sz w:val="22"/>
        </w:rPr>
        <w:t>1.</w:t>
      </w:r>
      <w:r>
        <w:rPr>
          <w:rFonts w:ascii="MingLiU" w:hAnsi="MingLiU" w:eastAsia="MingLiU"/>
          <w:b/>
          <w:sz w:val="24"/>
        </w:rPr>
        <w:t>产品描述</w:t>
      </w:r>
    </w:p>
    <w:p>
      <w:pPr>
        <w:spacing w:line="92" w:lineRule="exact"/>
        <w:rPr>
          <w:rFonts w:ascii="Times New Roman" w:hAnsi="Times New Roman" w:eastAsia="Times New Roman"/>
          <w:sz w:val="24"/>
        </w:rPr>
      </w:pPr>
    </w:p>
    <w:p>
      <w:pPr>
        <w:spacing w:line="360" w:lineRule="auto"/>
        <w:ind w:firstLine="420" w:firstLineChars="200"/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eastAsia="zh-CN"/>
        </w:rPr>
      </w:pPr>
      <w:r>
        <w:rPr>
          <w:rFonts w:hint="eastAsia"/>
          <w:szCs w:val="21"/>
        </w:rPr>
        <w:t>低</w:t>
      </w:r>
      <w:r>
        <w:rPr>
          <w:rFonts w:hint="eastAsia"/>
          <w:szCs w:val="21"/>
          <w:lang w:eastAsia="zh-CN"/>
        </w:rPr>
        <w:t>挥发份</w:t>
      </w:r>
      <w:r>
        <w:rPr>
          <w:rFonts w:hint="eastAsia"/>
          <w:szCs w:val="21"/>
        </w:rPr>
        <w:t>含氢硅油</w:t>
      </w:r>
      <w:r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  <w:t>可挥发物质含量低。其中</w:t>
      </w:r>
      <w:r>
        <w:rPr>
          <w:rStyle w:val="2"/>
          <w:rFonts w:ascii="IHIHBF+KaiTi_GB2312" w:hAnsi="IHIHBF+KaiTi_GB2312" w:eastAsia="Calibri" w:cs="IHIHBF+KaiTi_GB2312"/>
          <w:color w:val="auto"/>
          <w:spacing w:val="0"/>
          <w:sz w:val="21"/>
        </w:rPr>
        <w:t xml:space="preserve"> </w:t>
      </w:r>
      <w:r>
        <w:rPr>
          <w:rStyle w:val="2"/>
          <w:rFonts w:ascii="VIJQRD+TimesNewRomanPSMT" w:hAnsi="Calibri" w:eastAsia="Calibri" w:cs="Times New Roman"/>
          <w:color w:val="auto"/>
          <w:spacing w:val="0"/>
          <w:sz w:val="21"/>
        </w:rPr>
        <w:t>D3</w:t>
      </w:r>
      <w:r>
        <w:rPr>
          <w:rStyle w:val="2"/>
          <w:rFonts w:ascii="宋体" w:hAnsi="宋体" w:eastAsia="Calibri" w:cs="宋体"/>
          <w:color w:val="auto"/>
          <w:spacing w:val="0"/>
          <w:sz w:val="21"/>
        </w:rPr>
        <w:t>～</w:t>
      </w:r>
      <w:r>
        <w:rPr>
          <w:rStyle w:val="2"/>
          <w:rFonts w:ascii="VIJQRD+TimesNewRomanPSMT" w:hAnsi="Calibri" w:eastAsia="Calibri" w:cs="Times New Roman"/>
          <w:color w:val="auto"/>
          <w:spacing w:val="0"/>
          <w:sz w:val="21"/>
        </w:rPr>
        <w:t>D10</w:t>
      </w:r>
      <w:r>
        <w:rPr>
          <w:rStyle w:val="2"/>
          <w:rFonts w:ascii="IHIHBF+KaiTi_GB2312" w:hAnsi="IHIHBF+KaiTi_GB2312" w:eastAsia="Calibri" w:cs="IHIHBF+KaiTi_GB2312"/>
          <w:color w:val="auto"/>
          <w:spacing w:val="0"/>
          <w:sz w:val="21"/>
        </w:rPr>
        <w:t>总量</w:t>
      </w:r>
      <w:r>
        <w:rPr>
          <w:rStyle w:val="2"/>
          <w:rFonts w:ascii="VIJQRD+TimesNewRomanPSMT" w:hAnsi="Calibri" w:eastAsia="Calibri" w:cs="Times New Roman"/>
          <w:color w:val="auto"/>
          <w:spacing w:val="0"/>
          <w:sz w:val="21"/>
        </w:rPr>
        <w:t>&lt;1000ppm</w:t>
      </w:r>
      <w:r>
        <w:rPr>
          <w:rStyle w:val="2"/>
          <w:rFonts w:ascii="IHIHBF+KaiTi_GB2312" w:hAnsi="IHIHBF+KaiTi_GB2312" w:eastAsia="Calibri" w:cs="IHIHBF+KaiTi_GB2312"/>
          <w:color w:val="auto"/>
          <w:spacing w:val="0"/>
          <w:sz w:val="21"/>
        </w:rPr>
        <w:t>，也可根据需要</w:t>
      </w:r>
      <w:r>
        <w:rPr>
          <w:rStyle w:val="2"/>
          <w:rFonts w:hint="eastAsia" w:ascii="IHIHBF+KaiTi_GB2312" w:hAnsi="IHIHBF+KaiTi_GB2312" w:eastAsia="宋体" w:cs="IHIHBF+KaiTi_GB2312"/>
          <w:color w:val="auto"/>
          <w:spacing w:val="0"/>
          <w:sz w:val="21"/>
          <w:lang w:eastAsia="zh-CN"/>
        </w:rPr>
        <w:t>提供</w:t>
      </w:r>
      <w:r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  <w:t>不同粘度规格要求的产品。是加成型液体硅橡胶、有机硅凝胶等的主要原料</w:t>
      </w:r>
      <w:r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eastAsia="zh-CN"/>
        </w:rPr>
        <w:t>，</w:t>
      </w:r>
      <w:r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  <w:t>混炼胶的改性剂</w:t>
      </w:r>
      <w:r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eastAsia="zh-CN"/>
        </w:rPr>
      </w:pPr>
      <w:bookmarkStart w:id="0" w:name="_GoBack"/>
      <w:bookmarkEnd w:id="0"/>
    </w:p>
    <w:p>
      <w:pPr>
        <w:spacing w:line="97" w:lineRule="exact"/>
        <w:rPr>
          <w:rFonts w:ascii="Times New Roman" w:hAnsi="Times New Roman" w:eastAsia="Times New Roman"/>
          <w:sz w:val="24"/>
        </w:rPr>
      </w:pPr>
    </w:p>
    <w:p>
      <w:pPr>
        <w:spacing w:line="7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b/>
          <w:sz w:val="24"/>
        </w:rPr>
      </w:pPr>
      <w:r>
        <w:rPr>
          <w:rFonts w:hint="eastAsia" w:ascii="MingLiU" w:hAnsi="MingLiU" w:eastAsia="宋体"/>
          <w:b/>
          <w:sz w:val="24"/>
          <w:lang w:val="en-US" w:eastAsia="zh-CN"/>
        </w:rPr>
        <w:t>2</w:t>
      </w:r>
      <w:r>
        <w:rPr>
          <w:rFonts w:ascii="MingLiU" w:hAnsi="MingLiU" w:eastAsia="MingLiU"/>
          <w:b/>
          <w:sz w:val="24"/>
        </w:rPr>
        <w:t>.性能参数</w:t>
      </w:r>
    </w:p>
    <w:p>
      <w:pPr>
        <w:spacing w:line="7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8818" w:type="dxa"/>
        <w:tblInd w:w="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8"/>
        <w:gridCol w:w="1935"/>
        <w:gridCol w:w="4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特点</w:t>
            </w:r>
          </w:p>
        </w:tc>
        <w:tc>
          <w:tcPr>
            <w:tcW w:w="1935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单位</w:t>
            </w:r>
          </w:p>
        </w:tc>
        <w:tc>
          <w:tcPr>
            <w:tcW w:w="4005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LF-007P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8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3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00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78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外观</w:t>
            </w:r>
          </w:p>
        </w:tc>
        <w:tc>
          <w:tcPr>
            <w:tcW w:w="1935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right="14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-</w:t>
            </w:r>
          </w:p>
        </w:tc>
        <w:tc>
          <w:tcPr>
            <w:tcW w:w="4005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无色透明，无杂质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28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3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00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878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挥发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份（</w:t>
            </w:r>
            <w:r>
              <w:rPr>
                <w:rFonts w:ascii="仿宋" w:hAnsi="仿宋" w:eastAsia="仿宋"/>
                <w:sz w:val="24"/>
              </w:rPr>
              <w:t>105℃×1.5hr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1935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wt%</w:t>
            </w:r>
          </w:p>
        </w:tc>
        <w:tc>
          <w:tcPr>
            <w:tcW w:w="4005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w w:val="99"/>
                <w:sz w:val="24"/>
              </w:rPr>
              <w:t>≤</w:t>
            </w:r>
            <w:r>
              <w:rPr>
                <w:rFonts w:hint="eastAsia" w:ascii="Arial" w:hAnsi="Arial" w:eastAsia="仿宋" w:cs="Arial"/>
                <w:w w:val="99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28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3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00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78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粘度(25℃)</w:t>
            </w:r>
          </w:p>
        </w:tc>
        <w:tc>
          <w:tcPr>
            <w:tcW w:w="1935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mPa·s</w:t>
            </w:r>
          </w:p>
        </w:tc>
        <w:tc>
          <w:tcPr>
            <w:tcW w:w="4005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50±20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878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35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005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878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H-contnent</w:t>
            </w:r>
          </w:p>
        </w:tc>
        <w:tc>
          <w:tcPr>
            <w:tcW w:w="1935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wt%</w:t>
            </w:r>
          </w:p>
        </w:tc>
        <w:tc>
          <w:tcPr>
            <w:tcW w:w="4005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0.07±0.02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287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35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005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878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extDirection w:val="lrTb"/>
            <w:vAlign w:val="bottom"/>
          </w:tcPr>
          <w:p>
            <w:pPr>
              <w:spacing w:line="0" w:lineRule="atLeast"/>
              <w:ind w:left="20" w:leftChars="0"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密度</w:t>
            </w:r>
            <w:r>
              <w:rPr>
                <w:rFonts w:ascii="仿宋" w:hAnsi="仿宋" w:eastAsia="仿宋"/>
                <w:sz w:val="24"/>
              </w:rPr>
              <w:t>(25℃)</w:t>
            </w:r>
          </w:p>
        </w:tc>
        <w:tc>
          <w:tcPr>
            <w:tcW w:w="1935" w:type="dxa"/>
            <w:tcBorders>
              <w:top w:val="single" w:color="auto" w:sz="4" w:space="0"/>
              <w:right w:val="single" w:color="auto" w:sz="8" w:space="0"/>
            </w:tcBorders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g/cm</w:t>
            </w:r>
            <w:r>
              <w:rPr>
                <w:rFonts w:hint="eastAsia" w:ascii="仿宋" w:hAnsi="仿宋" w:eastAsia="仿宋"/>
                <w:w w:val="99"/>
                <w:sz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4005" w:type="dxa"/>
            <w:tcBorders>
              <w:top w:val="single" w:color="auto" w:sz="4" w:space="0"/>
              <w:right w:val="single" w:color="auto" w:sz="8" w:space="0"/>
            </w:tcBorders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28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3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00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sz w:val="22"/>
        </w:rPr>
      </w:pPr>
      <w:r>
        <w:rPr>
          <w:rFonts w:ascii="MingLiU" w:hAnsi="MingLiU" w:eastAsia="MingLiU"/>
          <w:b/>
          <w:sz w:val="24"/>
        </w:rPr>
        <w:t>备注 1）</w:t>
      </w:r>
      <w:r>
        <w:rPr>
          <w:rFonts w:ascii="MingLiU" w:hAnsi="MingLiU" w:eastAsia="MingLiU"/>
          <w:sz w:val="24"/>
        </w:rPr>
        <w:t>：</w:t>
      </w:r>
      <w:r>
        <w:rPr>
          <w:rFonts w:ascii="MingLiU" w:hAnsi="MingLiU" w:eastAsia="MingLiU"/>
          <w:b/>
          <w:sz w:val="24"/>
        </w:rPr>
        <w:t xml:space="preserve"> </w:t>
      </w:r>
      <w:r>
        <w:rPr>
          <w:rFonts w:ascii="MingLiU" w:hAnsi="MingLiU" w:eastAsia="MingLiU"/>
          <w:sz w:val="22"/>
        </w:rPr>
        <w:t>以上为典型数据，而非规格数据。</w:t>
      </w:r>
    </w:p>
    <w:p>
      <w:pPr>
        <w:spacing w:line="288" w:lineRule="exact"/>
        <w:ind w:left="220"/>
        <w:rPr>
          <w:rFonts w:ascii="MingLiU" w:hAnsi="MingLiU" w:eastAsia="MingLiU"/>
          <w:sz w:val="22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52" w:lineRule="exact"/>
        <w:rPr>
          <w:rFonts w:ascii="Times New Roman" w:hAnsi="Times New Roman" w:eastAsia="Times New Roman"/>
          <w:sz w:val="24"/>
        </w:rPr>
      </w:pPr>
    </w:p>
    <w:p>
      <w:pPr>
        <w:numPr>
          <w:ilvl w:val="0"/>
          <w:numId w:val="0"/>
        </w:numPr>
        <w:spacing w:line="264" w:lineRule="exact"/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</w:pPr>
      <w:r>
        <w:rPr>
          <w:rFonts w:hint="eastAsia" w:ascii="MingLiU" w:hAnsi="MingLiU" w:eastAsia="宋体"/>
          <w:b/>
          <w:sz w:val="22"/>
          <w:lang w:val="en-US" w:eastAsia="zh-CN"/>
        </w:rPr>
        <w:t xml:space="preserve">  3.</w:t>
      </w:r>
      <w:r>
        <w:rPr>
          <w:rFonts w:hint="eastAsia" w:ascii="MingLiU" w:hAnsi="MingLiU" w:eastAsia="宋体"/>
          <w:b/>
          <w:sz w:val="22"/>
          <w:lang w:eastAsia="zh-CN"/>
        </w:rPr>
        <w:t>包装规格：</w:t>
      </w:r>
      <w:r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  <w:t>塑桶/铁桶包装，20公斤/塑桶，200公斤/铁桶</w:t>
      </w:r>
    </w:p>
    <w:p>
      <w:pPr>
        <w:numPr>
          <w:ilvl w:val="0"/>
          <w:numId w:val="0"/>
        </w:numPr>
        <w:spacing w:line="264" w:lineRule="exact"/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</w:pPr>
    </w:p>
    <w:p>
      <w:pPr>
        <w:numPr>
          <w:ilvl w:val="0"/>
          <w:numId w:val="0"/>
        </w:numPr>
        <w:spacing w:line="264" w:lineRule="exact"/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</w:pPr>
    </w:p>
    <w:p>
      <w:pPr>
        <w:numPr>
          <w:ilvl w:val="0"/>
          <w:numId w:val="0"/>
        </w:numPr>
        <w:spacing w:line="264" w:lineRule="exact"/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</w:pPr>
    </w:p>
    <w:p>
      <w:pPr>
        <w:spacing w:line="264" w:lineRule="exact"/>
        <w:ind w:left="220"/>
        <w:rPr>
          <w:rFonts w:ascii="MingLiU" w:hAnsi="MingLiU" w:eastAsia="MingLiU"/>
          <w:b/>
          <w:sz w:val="22"/>
        </w:rPr>
      </w:pPr>
      <w:r>
        <w:rPr>
          <w:rFonts w:hint="eastAsia" w:ascii="MingLiU" w:hAnsi="MingLiU" w:eastAsia="宋体"/>
          <w:b/>
          <w:sz w:val="22"/>
          <w:lang w:val="en-US" w:eastAsia="zh-CN"/>
        </w:rPr>
        <w:t>4.</w:t>
      </w:r>
      <w:r>
        <w:rPr>
          <w:rFonts w:ascii="MingLiU" w:hAnsi="MingLiU" w:eastAsia="MingLiU"/>
          <w:b/>
          <w:sz w:val="22"/>
        </w:rPr>
        <w:t>储</w:t>
      </w:r>
      <w:r>
        <w:rPr>
          <w:rFonts w:hint="eastAsia" w:ascii="MingLiU" w:hAnsi="MingLiU" w:eastAsia="宋体"/>
          <w:b/>
          <w:sz w:val="22"/>
          <w:lang w:eastAsia="zh-CN"/>
        </w:rPr>
        <w:t>存及运输</w:t>
      </w:r>
    </w:p>
    <w:p>
      <w:pPr>
        <w:spacing w:line="96" w:lineRule="exact"/>
        <w:rPr>
          <w:rFonts w:ascii="Times New Roman" w:hAnsi="Times New Roman" w:eastAsia="Times New Roman"/>
          <w:sz w:val="24"/>
        </w:rPr>
      </w:pPr>
    </w:p>
    <w:p>
      <w:pPr>
        <w:spacing w:line="360" w:lineRule="auto"/>
        <w:ind w:firstLine="420" w:firstLineChars="200"/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eastAsia="zh-CN"/>
        </w:rPr>
      </w:pPr>
      <w:r>
        <w:rPr>
          <w:rFonts w:hint="eastAsia"/>
          <w:szCs w:val="21"/>
          <w:lang w:val="en-US" w:eastAsia="zh-CN"/>
        </w:rPr>
        <w:t>1、</w:t>
      </w:r>
      <w:r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  <w:t>不要接触明火，防止日光直接照射；保持通风、干燥、密封保存（可作为非危险品运</w:t>
      </w:r>
      <w:r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eastAsia="zh-CN"/>
        </w:rPr>
        <w:t>输保存）；</w:t>
      </w:r>
    </w:p>
    <w:p>
      <w:pPr>
        <w:spacing w:line="360" w:lineRule="auto"/>
        <w:ind w:firstLine="420" w:firstLineChars="200"/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eastAsia="zh-CN"/>
        </w:rPr>
      </w:pPr>
      <w:r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val="en-US" w:eastAsia="zh-CN"/>
        </w:rPr>
        <w:t>2、</w:t>
      </w:r>
      <w:r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  <w:t>贮存期3年，超期后经检验合格，仍可使用</w:t>
      </w:r>
      <w:r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eastAsia="zh-CN"/>
        </w:rPr>
        <w:t>。</w:t>
      </w:r>
    </w:p>
    <w:p>
      <w:pPr/>
      <w:r>
        <w:rPr>
          <w:rStyle w:val="2"/>
          <w:rFonts w:hint="eastAsia" w:ascii="宋体" w:hAnsi="宋体" w:eastAsia="宋体" w:cs="宋体"/>
          <w:color w:val="000000"/>
          <w:spacing w:val="1"/>
          <w:sz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288925</wp:posOffset>
            </wp:positionH>
            <wp:positionV relativeFrom="page">
              <wp:posOffset>83820</wp:posOffset>
            </wp:positionV>
            <wp:extent cx="6807200" cy="1632585"/>
            <wp:effectExtent l="0" t="0" r="12700" b="5715"/>
            <wp:wrapSquare wrapText="bothSides"/>
            <wp:docPr id="1" name="图片 8" descr="fe2b9e081c8a5ac86e198126371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fe2b9e081c8a5ac86e1981263711c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IHIHBF+KaiTi_GB2312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IJQRD+TimesNewRomanPS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decorative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3E26"/>
    <w:rsid w:val="02D170A8"/>
    <w:rsid w:val="0D2A3E26"/>
    <w:rsid w:val="14B30E25"/>
    <w:rsid w:val="2CDB7EE0"/>
    <w:rsid w:val="4B8B3CE2"/>
    <w:rsid w:val="4BA70941"/>
    <w:rsid w:val="614D0E72"/>
    <w:rsid w:val="61DF04D7"/>
    <w:rsid w:val="6D535020"/>
    <w:rsid w:val="71147D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2019-04-22T08:41:00Z</dcterms:created>
  <dc:creator>弟仔</dc:creator>
  <cp:lastModifiedBy>Administrator</cp:lastModifiedBy>
  <dcterms:modified xsi:type="dcterms:W3CDTF">2020-03-17T09:20:02Z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