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210" w:lineRule="auto"/>
        <w:jc w:val="center"/>
        <w:rPr>
          <w:rFonts w:hint="default" w:ascii="宋体" w:hAnsi="宋体" w:eastAsia="宋体"/>
          <w:b/>
          <w:sz w:val="32"/>
          <w:lang w:val="en-US" w:eastAsia="zh-CN"/>
        </w:rPr>
      </w:pPr>
      <w:r>
        <w:rPr>
          <w:rFonts w:hint="eastAsia" w:ascii="宋体" w:hAnsi="宋体" w:eastAsia="宋体"/>
          <w:b/>
          <w:sz w:val="32"/>
          <w:lang w:val="en-US" w:eastAsia="zh-CN"/>
        </w:rPr>
        <w:t>含氢硅油LH-075P</w:t>
      </w:r>
    </w:p>
    <w:p>
      <w:pPr>
        <w:spacing w:line="209" w:lineRule="exact"/>
        <w:rPr>
          <w:rFonts w:ascii="Times New Roman" w:hAnsi="Times New Roman" w:eastAsia="Times New Roman"/>
          <w:sz w:val="24"/>
        </w:rPr>
      </w:pPr>
    </w:p>
    <w:p>
      <w:pPr>
        <w:spacing w:line="77" w:lineRule="exact"/>
        <w:rPr>
          <w:rFonts w:ascii="Times New Roman" w:hAnsi="Times New Roman" w:eastAsia="Times New Roman"/>
          <w:sz w:val="24"/>
        </w:rPr>
      </w:pPr>
    </w:p>
    <w:p>
      <w:pPr>
        <w:spacing w:line="288" w:lineRule="exact"/>
        <w:ind w:left="220"/>
        <w:rPr>
          <w:rFonts w:ascii="MingLiU" w:hAnsi="MingLiU" w:eastAsia="MingLiU"/>
          <w:b/>
          <w:sz w:val="24"/>
        </w:rPr>
      </w:pPr>
      <w:r>
        <w:rPr>
          <w:rFonts w:ascii="MingLiU" w:hAnsi="MingLiU" w:eastAsia="MingLiU"/>
          <w:b/>
          <w:sz w:val="22"/>
        </w:rPr>
        <w:t>1.</w:t>
      </w:r>
      <w:r>
        <w:rPr>
          <w:rFonts w:ascii="MingLiU" w:hAnsi="MingLiU" w:eastAsia="MingLiU"/>
          <w:b/>
          <w:sz w:val="24"/>
        </w:rPr>
        <w:t>产品描述</w:t>
      </w:r>
    </w:p>
    <w:p>
      <w:pPr>
        <w:spacing w:line="92" w:lineRule="exact"/>
        <w:rPr>
          <w:rFonts w:ascii="Times New Roman" w:hAnsi="Times New Roman" w:eastAsia="Times New Roman"/>
          <w:sz w:val="24"/>
        </w:rPr>
      </w:pPr>
    </w:p>
    <w:p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低含氢硅油是由高含氢硅油与二甲基环硅氧烷平衡制得的产品。它含有活性很高的硅氢键，是合成改性硅油，如聚醚改性硅油、烷基改性硅油的基本原料，也是加成型硅橡胶的交联剂，还可用于材料的疏水处理。</w:t>
      </w:r>
    </w:p>
    <w:p>
      <w:pPr>
        <w:spacing w:line="97" w:lineRule="exact"/>
        <w:rPr>
          <w:rFonts w:ascii="Times New Roman" w:hAnsi="Times New Roman" w:eastAsia="Times New Roman"/>
          <w:sz w:val="24"/>
        </w:rPr>
      </w:pPr>
    </w:p>
    <w:p>
      <w:pPr>
        <w:spacing w:line="263" w:lineRule="exact"/>
        <w:ind w:left="220"/>
        <w:rPr>
          <w:rFonts w:ascii="MingLiU" w:hAnsi="MingLiU" w:eastAsia="MingLiU"/>
          <w:b/>
          <w:sz w:val="22"/>
        </w:rPr>
      </w:pPr>
      <w:r>
        <w:rPr>
          <w:rFonts w:ascii="MingLiU" w:hAnsi="MingLiU" w:eastAsia="MingLiU"/>
          <w:b/>
          <w:sz w:val="22"/>
        </w:rPr>
        <w:t>2.主要性能</w:t>
      </w:r>
    </w:p>
    <w:p>
      <w:pPr>
        <w:spacing w:line="142" w:lineRule="exact"/>
        <w:rPr>
          <w:rFonts w:ascii="Times New Roman" w:hAnsi="Times New Roman" w:eastAsia="Times New Roman"/>
          <w:color w:val="0000FF"/>
          <w:sz w:val="24"/>
        </w:rPr>
      </w:pPr>
    </w:p>
    <w:p>
      <w:pPr>
        <w:spacing w:line="289" w:lineRule="exact"/>
        <w:ind w:left="437" w:leftChars="208" w:right="60" w:firstLine="0" w:firstLineChars="0"/>
        <w:rPr>
          <w:rFonts w:ascii="MingLiU" w:hAnsi="MingLiU" w:eastAsia="MingLiU"/>
          <w:color w:val="000000" w:themeColor="text1"/>
          <w:sz w:val="22"/>
          <w14:textFill>
            <w14:solidFill>
              <w14:schemeClr w14:val="tx1"/>
            </w14:solidFill>
          </w14:textFill>
        </w:rPr>
      </w:pPr>
      <w:r>
        <w:rPr>
          <w:rFonts w:ascii="MingLiU" w:hAnsi="MingLiU" w:eastAsia="MingLiU"/>
          <w:color w:val="000000" w:themeColor="text1"/>
          <w:sz w:val="22"/>
          <w14:textFill>
            <w14:solidFill>
              <w14:schemeClr w14:val="tx1"/>
            </w14:solidFill>
          </w14:textFill>
        </w:rPr>
        <w:t>甲基氢硅氧烷液体容易与硅醇组和羟基进行缩合反应，还与不饱和有机化合物进行加成反应的高效的催化剂。</w:t>
      </w:r>
    </w:p>
    <w:p>
      <w:pPr>
        <w:spacing w:line="97" w:lineRule="exact"/>
        <w:rPr>
          <w:rFonts w:ascii="Times New Roman" w:hAnsi="Times New Roman" w:eastAsia="Times New Roman"/>
          <w:sz w:val="24"/>
        </w:rPr>
      </w:pPr>
    </w:p>
    <w:p>
      <w:pPr>
        <w:spacing w:line="263" w:lineRule="exact"/>
        <w:ind w:left="220"/>
        <w:rPr>
          <w:rFonts w:ascii="MingLiU" w:hAnsi="MingLiU" w:eastAsia="MingLiU"/>
          <w:b/>
          <w:sz w:val="22"/>
        </w:rPr>
      </w:pPr>
      <w:r>
        <w:rPr>
          <w:rFonts w:ascii="MingLiU" w:hAnsi="MingLiU" w:eastAsia="MingLiU"/>
          <w:b/>
          <w:sz w:val="22"/>
        </w:rPr>
        <w:t>3.应用说明</w:t>
      </w:r>
    </w:p>
    <w:p>
      <w:pPr>
        <w:spacing w:line="97" w:lineRule="exact"/>
        <w:rPr>
          <w:rFonts w:ascii="Times New Roman" w:hAnsi="Times New Roman" w:eastAsia="Times New Roman"/>
          <w:sz w:val="24"/>
        </w:rPr>
      </w:pPr>
    </w:p>
    <w:p>
      <w:pPr>
        <w:spacing w:line="263" w:lineRule="exact"/>
        <w:ind w:left="340"/>
        <w:rPr>
          <w:rFonts w:ascii="MingLiU" w:hAnsi="MingLiU" w:eastAsia="MingLiU"/>
          <w:color w:val="000000" w:themeColor="text1"/>
          <w:sz w:val="22"/>
          <w14:textFill>
            <w14:solidFill>
              <w14:schemeClr w14:val="tx1"/>
            </w14:solidFill>
          </w14:textFill>
        </w:rPr>
      </w:pPr>
      <w:r>
        <w:rPr>
          <w:rFonts w:ascii="MingLiU" w:hAnsi="MingLiU" w:eastAsia="MingLiU"/>
          <w:color w:val="000000" w:themeColor="text1"/>
          <w:sz w:val="22"/>
          <w14:textFill>
            <w14:solidFill>
              <w14:schemeClr w14:val="tx1"/>
            </w14:solidFill>
          </w14:textFill>
        </w:rPr>
        <w:t>架桥剂</w:t>
      </w:r>
    </w:p>
    <w:p>
      <w:pPr>
        <w:spacing w:line="77" w:lineRule="exact"/>
        <w:rPr>
          <w:rFonts w:ascii="Times New Roman" w:hAnsi="Times New Roman" w:eastAsia="Times New Roman"/>
          <w:sz w:val="24"/>
        </w:rPr>
      </w:pPr>
    </w:p>
    <w:p>
      <w:pPr>
        <w:spacing w:line="288" w:lineRule="exact"/>
        <w:ind w:left="220"/>
        <w:rPr>
          <w:rFonts w:ascii="MingLiU" w:hAnsi="MingLiU" w:eastAsia="MingLiU"/>
          <w:b/>
          <w:sz w:val="24"/>
        </w:rPr>
      </w:pPr>
      <w:r>
        <w:rPr>
          <w:rFonts w:ascii="MingLiU" w:hAnsi="MingLiU" w:eastAsia="MingLiU"/>
          <w:b/>
          <w:sz w:val="24"/>
        </w:rPr>
        <w:t>4.性能参数</w:t>
      </w:r>
    </w:p>
    <w:p>
      <w:pPr>
        <w:spacing w:line="7" w:lineRule="exact"/>
        <w:rPr>
          <w:rFonts w:ascii="Times New Roman" w:hAnsi="Times New Roman" w:eastAsia="Times New Roman"/>
          <w:sz w:val="24"/>
        </w:rPr>
      </w:pPr>
    </w:p>
    <w:tbl>
      <w:tblPr>
        <w:tblStyle w:val="3"/>
        <w:tblW w:w="8960" w:type="dxa"/>
        <w:tblInd w:w="48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00"/>
        <w:gridCol w:w="3160"/>
        <w:gridCol w:w="33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50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0" w:lineRule="atLeast"/>
              <w:ind w:left="20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特点</w:t>
            </w:r>
          </w:p>
        </w:tc>
        <w:tc>
          <w:tcPr>
            <w:tcW w:w="31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仿宋" w:hAnsi="仿宋" w:eastAsia="仿宋"/>
                <w:w w:val="99"/>
                <w:sz w:val="24"/>
              </w:rPr>
            </w:pPr>
            <w:r>
              <w:rPr>
                <w:rFonts w:ascii="仿宋" w:hAnsi="仿宋" w:eastAsia="仿宋"/>
                <w:w w:val="99"/>
                <w:sz w:val="24"/>
              </w:rPr>
              <w:t>单位</w:t>
            </w:r>
          </w:p>
        </w:tc>
        <w:tc>
          <w:tcPr>
            <w:tcW w:w="33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仿宋" w:hAnsi="仿宋" w:eastAsia="仿宋"/>
                <w:w w:val="99"/>
                <w:sz w:val="24"/>
              </w:rPr>
            </w:pPr>
            <w:r>
              <w:rPr>
                <w:rFonts w:hint="eastAsia" w:ascii="仿宋" w:hAnsi="仿宋" w:eastAsia="仿宋"/>
                <w:w w:val="99"/>
                <w:sz w:val="24"/>
                <w:lang w:val="en-US" w:eastAsia="zh-CN"/>
              </w:rPr>
              <w:t>LH-075P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25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3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25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0" w:lineRule="atLeast"/>
              <w:ind w:left="20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外观</w:t>
            </w:r>
          </w:p>
        </w:tc>
        <w:tc>
          <w:tcPr>
            <w:tcW w:w="3160" w:type="dxa"/>
            <w:tcBorders>
              <w:right w:val="single" w:color="auto" w:sz="8" w:space="0"/>
            </w:tcBorders>
            <w:vAlign w:val="bottom"/>
          </w:tcPr>
          <w:p>
            <w:pPr>
              <w:spacing w:line="0" w:lineRule="atLeast"/>
              <w:ind w:right="1420"/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-</w:t>
            </w:r>
          </w:p>
        </w:tc>
        <w:tc>
          <w:tcPr>
            <w:tcW w:w="3300" w:type="dxa"/>
            <w:tcBorders>
              <w:right w:val="single" w:color="auto" w:sz="8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w w:val="99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w w:val="99"/>
                <w:sz w:val="24"/>
                <w:lang w:val="en-US" w:eastAsia="zh-CN"/>
              </w:rPr>
              <w:t>无色透明油状液体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" w:hRule="atLeast"/>
        </w:trPr>
        <w:tc>
          <w:tcPr>
            <w:tcW w:w="25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3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25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0" w:lineRule="atLeast"/>
              <w:ind w:left="20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挥发性</w:t>
            </w:r>
          </w:p>
        </w:tc>
        <w:tc>
          <w:tcPr>
            <w:tcW w:w="3160" w:type="dxa"/>
            <w:tcBorders>
              <w:right w:val="single" w:color="auto" w:sz="8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仿宋" w:hAnsi="仿宋" w:eastAsia="仿宋"/>
                <w:w w:val="99"/>
                <w:sz w:val="24"/>
              </w:rPr>
            </w:pPr>
            <w:r>
              <w:rPr>
                <w:rFonts w:ascii="仿宋" w:hAnsi="仿宋" w:eastAsia="仿宋"/>
                <w:w w:val="99"/>
                <w:sz w:val="24"/>
              </w:rPr>
              <w:t>wt%</w:t>
            </w:r>
          </w:p>
        </w:tc>
        <w:tc>
          <w:tcPr>
            <w:tcW w:w="3300" w:type="dxa"/>
            <w:tcBorders>
              <w:right w:val="single" w:color="auto" w:sz="8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w w:val="99"/>
                <w:sz w:val="24"/>
                <w:lang w:val="en-US" w:eastAsia="zh-CN"/>
              </w:rPr>
            </w:pPr>
            <w:r>
              <w:rPr>
                <w:rFonts w:hint="default" w:ascii="Arial" w:hAnsi="Arial" w:eastAsia="仿宋" w:cs="Arial"/>
                <w:w w:val="99"/>
                <w:sz w:val="24"/>
              </w:rPr>
              <w:t>≤</w:t>
            </w:r>
            <w:r>
              <w:rPr>
                <w:rFonts w:hint="eastAsia" w:ascii="仿宋" w:hAnsi="仿宋" w:eastAsia="仿宋"/>
                <w:w w:val="99"/>
                <w:sz w:val="24"/>
                <w:lang w:val="en-US" w:eastAsia="zh-CN"/>
              </w:rPr>
              <w:t>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" w:hRule="atLeast"/>
        </w:trPr>
        <w:tc>
          <w:tcPr>
            <w:tcW w:w="25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3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5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0" w:lineRule="atLeast"/>
              <w:ind w:left="20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粘度(25℃)</w:t>
            </w:r>
          </w:p>
        </w:tc>
        <w:tc>
          <w:tcPr>
            <w:tcW w:w="3160" w:type="dxa"/>
            <w:tcBorders>
              <w:right w:val="single" w:color="auto" w:sz="8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w w:val="99"/>
                <w:sz w:val="24"/>
                <w:lang w:val="en-US" w:eastAsia="zh-CN"/>
              </w:rPr>
            </w:pPr>
            <w:r>
              <w:rPr>
                <w:rFonts w:ascii="仿宋" w:hAnsi="仿宋" w:eastAsia="仿宋"/>
                <w:w w:val="99"/>
                <w:sz w:val="24"/>
              </w:rPr>
              <w:t>c</w:t>
            </w:r>
            <w:r>
              <w:rPr>
                <w:rFonts w:hint="eastAsia" w:ascii="仿宋" w:hAnsi="仿宋" w:eastAsia="仿宋"/>
                <w:w w:val="99"/>
                <w:sz w:val="24"/>
                <w:lang w:val="en-US" w:eastAsia="zh-CN"/>
              </w:rPr>
              <w:t>ps</w:t>
            </w:r>
          </w:p>
        </w:tc>
        <w:tc>
          <w:tcPr>
            <w:tcW w:w="3300" w:type="dxa"/>
            <w:tcBorders>
              <w:right w:val="single" w:color="auto" w:sz="8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w w:val="99"/>
                <w:sz w:val="24"/>
                <w:lang w:val="en-US" w:eastAsia="zh-CN"/>
              </w:rPr>
            </w:pPr>
            <w:r>
              <w:rPr>
                <w:rFonts w:hint="eastAsia" w:ascii="Arial" w:hAnsi="Arial" w:eastAsia="仿宋" w:cs="Arial"/>
                <w:w w:val="99"/>
                <w:sz w:val="24"/>
              </w:rPr>
              <w:t>5</w:t>
            </w:r>
            <w:r>
              <w:rPr>
                <w:rFonts w:hint="default" w:ascii="Arial" w:hAnsi="Arial" w:eastAsia="仿宋" w:cs="Arial"/>
                <w:w w:val="99"/>
                <w:sz w:val="24"/>
              </w:rPr>
              <w:t>0-1</w:t>
            </w:r>
            <w:r>
              <w:rPr>
                <w:rFonts w:hint="eastAsia" w:ascii="Arial" w:hAnsi="Arial" w:eastAsia="仿宋" w:cs="Arial"/>
                <w:w w:val="99"/>
                <w:sz w:val="24"/>
                <w:lang w:val="en-US" w:eastAsia="zh-CN"/>
              </w:rPr>
              <w:t>0</w:t>
            </w:r>
            <w:r>
              <w:rPr>
                <w:rFonts w:hint="default" w:ascii="Arial" w:hAnsi="Arial" w:eastAsia="仿宋" w:cs="Arial"/>
                <w:w w:val="99"/>
                <w:sz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25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3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25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0" w:lineRule="atLeast"/>
              <w:ind w:left="20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H-contnent</w:t>
            </w:r>
          </w:p>
        </w:tc>
        <w:tc>
          <w:tcPr>
            <w:tcW w:w="3160" w:type="dxa"/>
            <w:tcBorders>
              <w:right w:val="single" w:color="auto" w:sz="8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w w:val="99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w w:val="99"/>
                <w:sz w:val="24"/>
                <w:lang w:val="en-US" w:eastAsia="zh-CN"/>
              </w:rPr>
              <w:t>wt%</w:t>
            </w:r>
          </w:p>
        </w:tc>
        <w:tc>
          <w:tcPr>
            <w:tcW w:w="3300" w:type="dxa"/>
            <w:tcBorders>
              <w:right w:val="single" w:color="auto" w:sz="8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w w:val="99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w w:val="99"/>
                <w:sz w:val="24"/>
                <w:lang w:val="en-US" w:eastAsia="zh-CN"/>
              </w:rPr>
              <w:t>0.75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" w:hRule="atLeast"/>
        </w:trPr>
        <w:tc>
          <w:tcPr>
            <w:tcW w:w="25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3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</w:tbl>
    <w:p>
      <w:pPr>
        <w:spacing w:line="200" w:lineRule="exact"/>
        <w:rPr>
          <w:rFonts w:ascii="Times New Roman" w:hAnsi="Times New Roman" w:eastAsia="Times New Roman"/>
          <w:sz w:val="24"/>
        </w:rPr>
      </w:pPr>
    </w:p>
    <w:p>
      <w:pPr>
        <w:spacing w:line="207" w:lineRule="exact"/>
        <w:rPr>
          <w:rFonts w:ascii="Times New Roman" w:hAnsi="Times New Roman" w:eastAsia="Times New Roman"/>
          <w:sz w:val="24"/>
        </w:rPr>
      </w:pPr>
    </w:p>
    <w:p>
      <w:pPr>
        <w:spacing w:line="288" w:lineRule="exact"/>
        <w:ind w:left="220"/>
        <w:rPr>
          <w:rFonts w:ascii="MingLiU" w:hAnsi="MingLiU" w:eastAsia="MingLiU"/>
          <w:sz w:val="22"/>
        </w:rPr>
      </w:pPr>
      <w:r>
        <w:rPr>
          <w:rFonts w:ascii="MingLiU" w:hAnsi="MingLiU" w:eastAsia="MingLiU"/>
          <w:b/>
          <w:sz w:val="24"/>
        </w:rPr>
        <w:t>备注 1）</w:t>
      </w:r>
      <w:r>
        <w:rPr>
          <w:rFonts w:ascii="MingLiU" w:hAnsi="MingLiU" w:eastAsia="MingLiU"/>
          <w:sz w:val="24"/>
        </w:rPr>
        <w:t>：</w:t>
      </w:r>
      <w:r>
        <w:rPr>
          <w:rFonts w:ascii="MingLiU" w:hAnsi="MingLiU" w:eastAsia="MingLiU"/>
          <w:b/>
          <w:sz w:val="24"/>
        </w:rPr>
        <w:t xml:space="preserve"> </w:t>
      </w:r>
      <w:r>
        <w:rPr>
          <w:rFonts w:ascii="MingLiU" w:hAnsi="MingLiU" w:eastAsia="MingLiU"/>
          <w:sz w:val="22"/>
        </w:rPr>
        <w:t>以上为典型数据，而非规格数据。</w:t>
      </w:r>
      <w:bookmarkStart w:id="1" w:name="_GoBack"/>
      <w:bookmarkEnd w:id="1"/>
    </w:p>
    <w:p>
      <w:pPr>
        <w:spacing w:line="200" w:lineRule="exact"/>
        <w:rPr>
          <w:rFonts w:ascii="Times New Roman" w:hAnsi="Times New Roman" w:eastAsia="Times New Roman"/>
          <w:sz w:val="24"/>
        </w:rPr>
      </w:pPr>
    </w:p>
    <w:p>
      <w:pPr>
        <w:spacing w:line="252" w:lineRule="exact"/>
        <w:rPr>
          <w:rFonts w:ascii="Times New Roman" w:hAnsi="Times New Roman" w:eastAsia="Times New Roman"/>
          <w:sz w:val="24"/>
        </w:rPr>
      </w:pPr>
    </w:p>
    <w:p>
      <w:pPr>
        <w:spacing w:line="264" w:lineRule="exact"/>
        <w:ind w:firstLine="220" w:firstLineChars="100"/>
        <w:rPr>
          <w:rFonts w:ascii="MingLiU" w:hAnsi="MingLiU" w:eastAsia="MingLiU"/>
          <w:b/>
          <w:sz w:val="22"/>
        </w:rPr>
      </w:pPr>
      <w:r>
        <w:rPr>
          <w:rFonts w:ascii="MingLiU" w:hAnsi="MingLiU" w:eastAsia="MingLiU"/>
          <w:b/>
          <w:sz w:val="22"/>
        </w:rPr>
        <w:t>5.操作预防措施</w:t>
      </w:r>
    </w:p>
    <w:p>
      <w:pPr>
        <w:spacing w:line="126" w:lineRule="exact"/>
        <w:rPr>
          <w:rFonts w:ascii="Times New Roman" w:hAnsi="Times New Roman" w:eastAsia="Times New Roman"/>
          <w:sz w:val="24"/>
        </w:rPr>
      </w:pPr>
    </w:p>
    <w:p>
      <w:pPr>
        <w:spacing w:line="289" w:lineRule="exact"/>
        <w:ind w:left="437" w:leftChars="208" w:right="60" w:firstLine="0" w:firstLineChars="0"/>
        <w:rPr>
          <w:rFonts w:ascii="MingLiU" w:hAnsi="MingLiU" w:eastAsia="MingLiU"/>
          <w:color w:val="000000" w:themeColor="text1"/>
          <w:sz w:val="22"/>
          <w14:textFill>
            <w14:solidFill>
              <w14:schemeClr w14:val="tx1"/>
            </w14:solidFill>
          </w14:textFill>
        </w:rPr>
      </w:pPr>
      <w:r>
        <w:rPr>
          <w:rFonts w:hint="eastAsia" w:ascii="MingLiU" w:hAnsi="MingLiU" w:eastAsia="MingLiU"/>
          <w:color w:val="000000" w:themeColor="text1"/>
          <w:sz w:val="24"/>
          <w:szCs w:val="28"/>
          <w:lang w:val="en-US" w:eastAsia="zh-CN"/>
          <w14:textFill>
            <w14:solidFill>
              <w14:schemeClr w14:val="tx1"/>
            </w14:solidFill>
          </w14:textFill>
        </w:rPr>
        <w:t>LH-075P</w:t>
      </w:r>
      <w:r>
        <w:rPr>
          <w:rFonts w:hint="eastAsia" w:ascii="MingLiU" w:hAnsi="MingLiU" w:eastAsia="MingLiU"/>
          <w:color w:val="000000" w:themeColor="text1"/>
          <w:sz w:val="24"/>
          <w:szCs w:val="28"/>
          <w:lang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MingLiU" w:hAnsi="MingLiU" w:eastAsia="MingLiU"/>
          <w:color w:val="000000" w:themeColor="text1"/>
          <w:sz w:val="22"/>
          <w14:textFill>
            <w14:solidFill>
              <w14:schemeClr w14:val="tx1"/>
            </w14:solidFill>
          </w14:textFill>
        </w:rPr>
        <w:t xml:space="preserve"> 在加热和硫化的情况在可能跟“HO-R”反应产生氢气，R=是的烷基，芳基，氢，金属。催化剂主要成分是，酸类，重金属盐，急性离子盐，某些过渡金属盐。当使用时避免加热，火花和明火。为了安全使用这个产品请参照本产品的 MSDS.</w:t>
      </w:r>
    </w:p>
    <w:p>
      <w:pPr>
        <w:spacing w:line="200" w:lineRule="exact"/>
        <w:rPr>
          <w:rFonts w:ascii="Times New Roman" w:hAnsi="Times New Roman" w:eastAsia="Times New Roman"/>
          <w:sz w:val="24"/>
        </w:rPr>
      </w:pPr>
    </w:p>
    <w:p>
      <w:pPr>
        <w:spacing w:line="253" w:lineRule="exact"/>
        <w:rPr>
          <w:rFonts w:ascii="Times New Roman" w:hAnsi="Times New Roman" w:eastAsia="Times New Roman"/>
          <w:sz w:val="24"/>
        </w:rPr>
      </w:pPr>
    </w:p>
    <w:p>
      <w:pPr>
        <w:spacing w:line="264" w:lineRule="exact"/>
        <w:ind w:left="220"/>
        <w:rPr>
          <w:rFonts w:ascii="MingLiU" w:hAnsi="MingLiU" w:eastAsia="MingLiU"/>
          <w:b/>
          <w:sz w:val="22"/>
        </w:rPr>
      </w:pPr>
      <w:r>
        <w:rPr>
          <w:rFonts w:ascii="MingLiU" w:hAnsi="MingLiU" w:eastAsia="MingLiU"/>
          <w:b/>
          <w:sz w:val="22"/>
        </w:rPr>
        <w:t>6 安全和存储</w:t>
      </w:r>
    </w:p>
    <w:p>
      <w:pPr>
        <w:spacing w:line="96" w:lineRule="exact"/>
        <w:rPr>
          <w:rFonts w:ascii="Times New Roman" w:hAnsi="Times New Roman" w:eastAsia="Times New Roman"/>
          <w:sz w:val="24"/>
        </w:rPr>
      </w:pPr>
    </w:p>
    <w:p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低含氢硅油产品为无色粘稠透明液体，无腐蚀性，易燃，不溶于水，易溶于有机溶剂。贮存场所温度宜在20℃~40℃，运输时应按非危险品运输。</w:t>
      </w:r>
    </w:p>
    <w:p>
      <w:pPr>
        <w:spacing w:line="200" w:lineRule="exact"/>
        <w:rPr>
          <w:rFonts w:ascii="Times New Roman" w:hAnsi="Times New Roman" w:eastAsia="Times New Roman"/>
          <w:sz w:val="24"/>
        </w:rPr>
      </w:pPr>
    </w:p>
    <w:p>
      <w:pPr>
        <w:spacing w:line="257" w:lineRule="exact"/>
        <w:rPr>
          <w:rFonts w:ascii="Times New Roman" w:hAnsi="Times New Roman" w:eastAsia="Times New Roman"/>
          <w:sz w:val="24"/>
        </w:rPr>
      </w:pPr>
    </w:p>
    <w:p>
      <w:pPr>
        <w:spacing w:line="263" w:lineRule="exact"/>
        <w:ind w:firstLine="221" w:firstLineChars="100"/>
        <w:rPr>
          <w:rFonts w:ascii="MingLiU" w:hAnsi="MingLiU" w:eastAsia="MingLiU"/>
          <w:b/>
          <w:sz w:val="22"/>
        </w:rPr>
      </w:pPr>
      <w:bookmarkStart w:id="0" w:name="page2"/>
      <w:bookmarkEnd w:id="0"/>
      <w:r>
        <w:rPr>
          <w:rFonts w:hint="eastAsia" w:ascii="MingLiU" w:hAnsi="MingLiU" w:eastAsia="宋体"/>
          <w:b/>
          <w:sz w:val="22"/>
          <w:lang w:val="en-US" w:eastAsia="zh-CN"/>
        </w:rPr>
        <w:t>7</w:t>
      </w:r>
      <w:r>
        <w:rPr>
          <w:rFonts w:ascii="MingLiU" w:hAnsi="MingLiU" w:eastAsia="MingLiU"/>
          <w:b/>
          <w:sz w:val="22"/>
        </w:rPr>
        <w:t>.包装</w:t>
      </w:r>
    </w:p>
    <w:p>
      <w:pPr>
        <w:spacing w:line="97" w:lineRule="exact"/>
        <w:rPr>
          <w:rFonts w:ascii="Times New Roman" w:hAnsi="Times New Roman" w:eastAsia="Times New Roman"/>
        </w:rPr>
      </w:pPr>
    </w:p>
    <w:p>
      <w:pPr/>
      <w:r>
        <w:rPr>
          <w:szCs w:val="21"/>
        </w:rPr>
        <w:t xml:space="preserve">  </w:t>
      </w:r>
      <w:r>
        <w:rPr>
          <w:rFonts w:hint="eastAsia"/>
          <w:szCs w:val="21"/>
        </w:rPr>
        <w:t>本产品采用铁桶包装，包装桶须清洁、完好，装桶后应严密不泄露。</w:t>
      </w:r>
      <w:r>
        <w:rPr>
          <w:rStyle w:val="2"/>
          <w:rFonts w:hint="eastAsia" w:ascii="宋体" w:hAnsi="宋体" w:eastAsia="宋体" w:cs="宋体"/>
          <w:color w:val="000000"/>
          <w:spacing w:val="1"/>
          <w:sz w:val="32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288925</wp:posOffset>
            </wp:positionH>
            <wp:positionV relativeFrom="page">
              <wp:posOffset>83820</wp:posOffset>
            </wp:positionV>
            <wp:extent cx="6807200" cy="1632585"/>
            <wp:effectExtent l="0" t="0" r="12700" b="5715"/>
            <wp:wrapSquare wrapText="bothSides"/>
            <wp:docPr id="1" name="图片 8" descr="fe2b9e081c8a5ac86e1981263711cc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8" descr="fe2b9e081c8a5ac86e1981263711cc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07200" cy="16325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MingLiU">
    <w:panose1 w:val="02020509000000000000"/>
    <w:charset w:val="88"/>
    <w:family w:val="swiss"/>
    <w:pitch w:val="default"/>
    <w:sig w:usb0="A00002FF" w:usb1="28CFFCFA" w:usb2="00000016" w:usb3="00000000" w:csb0="0010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2A3E26"/>
    <w:rsid w:val="0A720495"/>
    <w:rsid w:val="0D2A3E26"/>
    <w:rsid w:val="115E1ADC"/>
    <w:rsid w:val="14B30E25"/>
    <w:rsid w:val="2CDB7EE0"/>
    <w:rsid w:val="448C466B"/>
    <w:rsid w:val="4B8B3CE2"/>
    <w:rsid w:val="4BA70941"/>
    <w:rsid w:val="559A6184"/>
    <w:rsid w:val="6D53502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432</Words>
  <Characters>494</Characters>
  <Lines>0</Lines>
  <Paragraphs>0</Paragraphs>
  <TotalTime>0</TotalTime>
  <ScaleCrop>false</ScaleCrop>
  <LinksUpToDate>false</LinksUpToDate>
  <CharactersWithSpaces>502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2019-04-22T08:41:00Z</dcterms:created>
  <dc:creator>弟仔</dc:creator>
  <cp:lastModifiedBy>Administrator</cp:lastModifiedBy>
  <dcterms:modified xsi:type="dcterms:W3CDTF">2019-12-10T03:30:31Z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