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48260</wp:posOffset>
                </wp:positionV>
                <wp:extent cx="6429375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o:spt="20" style="position:absolute;left:0pt;margin-left:-1.8pt;margin-top:3.8pt;height:0pt;width:506.25pt;z-index:-251658240;mso-width-relative:page;mso-height-relative:page;" fillcolor="#FFFFFF" filled="t" stroked="t" coordsize="21600,21600" o:allowincell="f" o:gfxdata="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O0PduXUAAAABwEAAA8AAAAAAAAAAQAgAAAAIgAAAGRy&#10;cy9kb3ducmV2LnhtbFBLAQIUABQAAAAIAIdO4kCIXGISlwEAAEsDAAAOAAAAAAAAAAEAIAAAACMB&#10;AABkcnMvZTJvRG9jLnhtbFBLBQYAAAAABgAGAFkBAAAsBQAAAAA=&#10;">
                <v:fill on="t" focussize="0,0"/>
                <v:stroke weight="0.7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DFKai-SB" w:eastAsia="DFKai-SB"/>
          <w:sz w:val="32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-307975</wp:posOffset>
            </wp:positionH>
            <wp:positionV relativeFrom="paragraph">
              <wp:posOffset>22860</wp:posOffset>
            </wp:positionV>
            <wp:extent cx="7078345" cy="1478915"/>
            <wp:effectExtent l="0" t="0" r="8255" b="6985"/>
            <wp:wrapSquare wrapText="bothSides"/>
            <wp:docPr id="6" name="图片 6" descr="C:\Users\Administrator\Desktop\业务\03.jpg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业务\03.jpg03"/>
                    <pic:cNvPicPr>
                      <a:picLocks noChangeAspect="1"/>
                    </pic:cNvPicPr>
                  </pic:nvPicPr>
                  <pic:blipFill>
                    <a:blip r:embed="rId4"/>
                    <a:srcRect r="-516" b="12578"/>
                    <a:stretch>
                      <a:fillRect/>
                    </a:stretch>
                  </pic:blipFill>
                  <pic:spPr>
                    <a:xfrm>
                      <a:off x="327025" y="361950"/>
                      <a:ext cx="7078345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spacing w:after="0" w:line="218" w:lineRule="exact"/>
        <w:rPr>
          <w:color w:val="auto"/>
          <w:sz w:val="24"/>
          <w:szCs w:val="24"/>
        </w:rPr>
      </w:pPr>
    </w:p>
    <w:p>
      <w:pPr>
        <w:spacing w:after="0" w:line="343" w:lineRule="exact"/>
        <w:ind w:right="100"/>
        <w:jc w:val="center"/>
        <w:rPr>
          <w:color w:val="auto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MSK改质</w:t>
      </w: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 xml:space="preserve">剂 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MSK-124X系列</w:t>
      </w:r>
    </w:p>
    <w:p>
      <w:pPr>
        <w:spacing w:after="0" w:line="181" w:lineRule="exact"/>
        <w:rPr>
          <w:color w:val="auto"/>
          <w:sz w:val="24"/>
          <w:szCs w:val="24"/>
        </w:rPr>
      </w:pPr>
    </w:p>
    <w:p>
      <w:pPr>
        <w:spacing w:after="0" w:line="240" w:lineRule="exact"/>
        <w:ind w:left="6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说明</w:t>
      </w:r>
    </w:p>
    <w:p>
      <w:pPr>
        <w:spacing w:after="0" w:line="104" w:lineRule="exact"/>
        <w:rPr>
          <w:color w:val="auto"/>
          <w:sz w:val="24"/>
          <w:szCs w:val="24"/>
        </w:rPr>
      </w:pPr>
    </w:p>
    <w:p>
      <w:pPr>
        <w:spacing w:after="0" w:line="277" w:lineRule="exact"/>
        <w:ind w:left="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本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系列</w:t>
      </w:r>
      <w:r>
        <w:rPr>
          <w:rFonts w:ascii="宋体" w:hAnsi="宋体" w:eastAsia="宋体" w:cs="宋体"/>
          <w:color w:val="auto"/>
          <w:sz w:val="21"/>
          <w:szCs w:val="21"/>
        </w:rPr>
        <w:t>产品是一种采用特殊结构化合物组成的单液型介面处理剂，主要适用于尼龙及加玻纤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、塑胶和金属</w:t>
      </w:r>
      <w:r>
        <w:rPr>
          <w:rFonts w:ascii="宋体" w:hAnsi="宋体" w:eastAsia="宋体" w:cs="宋体"/>
          <w:color w:val="auto"/>
          <w:sz w:val="21"/>
          <w:szCs w:val="21"/>
        </w:rPr>
        <w:t>的表面处理，使处理过的基材与未成型的硅橡胶（铂金硫化）热模压固化后具有良好的粘接效果 。具有操作简单方便、透明度高、干燥快速、粘接效 果佳等优点。</w:t>
      </w:r>
    </w:p>
    <w:p>
      <w:pPr>
        <w:spacing w:after="0" w:line="75" w:lineRule="exact"/>
        <w:rPr>
          <w:color w:val="auto"/>
          <w:sz w:val="24"/>
          <w:szCs w:val="24"/>
        </w:rPr>
      </w:pPr>
    </w:p>
    <w:p>
      <w:pPr>
        <w:spacing w:after="0" w:line="240" w:lineRule="exact"/>
        <w:ind w:left="80"/>
        <w:rPr>
          <w:rFonts w:ascii="宋体" w:hAnsi="宋体" w:eastAsia="宋体" w:cs="宋体"/>
          <w:b/>
          <w:bCs/>
          <w:color w:val="auto"/>
          <w:sz w:val="21"/>
          <w:szCs w:val="21"/>
        </w:rPr>
      </w:pPr>
    </w:p>
    <w:p>
      <w:pPr>
        <w:spacing w:after="0" w:line="240" w:lineRule="exact"/>
        <w:ind w:left="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应用领域</w:t>
      </w:r>
    </w:p>
    <w:p>
      <w:pPr>
        <w:spacing w:after="0" w:line="72" w:lineRule="exact"/>
        <w:rPr>
          <w:color w:val="auto"/>
          <w:sz w:val="24"/>
          <w:szCs w:val="24"/>
        </w:rPr>
      </w:pPr>
    </w:p>
    <w:p>
      <w:pPr>
        <w:spacing w:after="0" w:line="240" w:lineRule="exact"/>
        <w:ind w:left="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手机、笔记本电脑、家电等电子产品及电子器件的组装贴合。</w:t>
      </w:r>
    </w:p>
    <w:p>
      <w:pPr>
        <w:spacing w:after="0" w:line="72" w:lineRule="exact"/>
        <w:rPr>
          <w:color w:val="auto"/>
          <w:sz w:val="24"/>
          <w:szCs w:val="24"/>
        </w:rPr>
      </w:pPr>
    </w:p>
    <w:p>
      <w:pPr>
        <w:spacing w:after="0" w:line="240" w:lineRule="exact"/>
        <w:ind w:left="80"/>
        <w:rPr>
          <w:rFonts w:ascii="宋体" w:hAnsi="宋体" w:eastAsia="宋体" w:cs="宋体"/>
          <w:b/>
          <w:bCs/>
          <w:color w:val="auto"/>
          <w:sz w:val="21"/>
          <w:szCs w:val="21"/>
        </w:rPr>
      </w:pPr>
    </w:p>
    <w:p>
      <w:pPr>
        <w:spacing w:after="0" w:line="240" w:lineRule="exact"/>
        <w:ind w:left="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使用方法</w:t>
      </w:r>
    </w:p>
    <w:p>
      <w:pPr>
        <w:spacing w:after="0" w:line="72" w:lineRule="exact"/>
        <w:rPr>
          <w:color w:val="auto"/>
          <w:sz w:val="24"/>
          <w:szCs w:val="24"/>
        </w:rPr>
      </w:pPr>
    </w:p>
    <w:p>
      <w:pPr>
        <w:spacing w:after="0" w:line="240" w:lineRule="exact"/>
        <w:rPr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1 .首先将基材表面的杂质（灰尘及油污等）用试剂（如乙醇）擦拭清除；</w:t>
      </w:r>
    </w:p>
    <w:p>
      <w:pPr>
        <w:spacing w:after="0" w:line="72" w:lineRule="exact"/>
        <w:rPr>
          <w:color w:val="auto"/>
          <w:sz w:val="24"/>
          <w:szCs w:val="24"/>
        </w:rPr>
      </w:pPr>
    </w:p>
    <w:p>
      <w:pPr>
        <w:spacing w:after="0" w:line="240" w:lineRule="exact"/>
        <w:rPr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2 .然后将处理剂涂刷、喷 涂或浸泡基材表面；</w:t>
      </w:r>
    </w:p>
    <w:p>
      <w:pPr>
        <w:spacing w:after="0" w:line="72" w:lineRule="exact"/>
        <w:rPr>
          <w:color w:val="auto"/>
          <w:sz w:val="24"/>
          <w:szCs w:val="24"/>
        </w:rPr>
      </w:pPr>
    </w:p>
    <w:p>
      <w:pPr>
        <w:spacing w:after="0" w:line="240" w:lineRule="exact"/>
        <w:rPr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3 .100℃烘烤 10-15 分钟左右；</w:t>
      </w:r>
      <w:bookmarkStart w:id="0" w:name="_GoBack"/>
      <w:bookmarkEnd w:id="0"/>
    </w:p>
    <w:p>
      <w:pPr>
        <w:spacing w:after="0" w:line="72" w:lineRule="exact"/>
        <w:rPr>
          <w:color w:val="auto"/>
          <w:sz w:val="24"/>
          <w:szCs w:val="24"/>
        </w:rPr>
      </w:pPr>
    </w:p>
    <w:p>
      <w:pPr>
        <w:spacing w:after="0" w:line="240" w:lineRule="exact"/>
        <w:rPr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4 .干燥后即可与硅橡胶进行模压成型粘接。</w:t>
      </w:r>
    </w:p>
    <w:p>
      <w:pPr>
        <w:spacing w:after="0" w:line="72" w:lineRule="exact"/>
        <w:rPr>
          <w:color w:val="auto"/>
          <w:sz w:val="24"/>
          <w:szCs w:val="24"/>
        </w:rPr>
      </w:pPr>
    </w:p>
    <w:p>
      <w:pPr>
        <w:spacing w:after="0" w:line="72" w:lineRule="exact"/>
        <w:rPr>
          <w:color w:val="auto"/>
          <w:sz w:val="24"/>
          <w:szCs w:val="24"/>
        </w:rPr>
      </w:pPr>
    </w:p>
    <w:p>
      <w:pPr>
        <w:spacing w:after="0" w:line="240" w:lineRule="exact"/>
        <w:ind w:left="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性能评价</w:t>
      </w:r>
    </w:p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51435</wp:posOffset>
                </wp:positionV>
                <wp:extent cx="12700" cy="127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6" o:spt="1" style="position:absolute;left:0pt;margin-left:3.5pt;margin-top:4.05pt;height:1pt;width:1pt;z-index:-251658240;mso-width-relative:page;mso-height-relative:page;" fillcolor="#000080" filled="t" stroked="f" coordsize="21600,21600" o:allowincell="f" o:gfxdata="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pacing w:after="0" w:line="44" w:lineRule="exact"/>
        <w:rPr>
          <w:color w:val="auto"/>
          <w:sz w:val="24"/>
          <w:szCs w:val="24"/>
        </w:rPr>
      </w:pPr>
    </w:p>
    <w:p>
      <w:pPr>
        <w:spacing w:after="0" w:line="19" w:lineRule="exact"/>
        <w:rPr>
          <w:color w:val="auto"/>
          <w:sz w:val="24"/>
          <w:szCs w:val="24"/>
        </w:rPr>
      </w:pPr>
    </w:p>
    <w:tbl>
      <w:tblPr>
        <w:tblStyle w:val="4"/>
        <w:tblW w:w="9813" w:type="dxa"/>
        <w:jc w:val="center"/>
        <w:tblInd w:w="-1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202"/>
        <w:gridCol w:w="1620"/>
        <w:gridCol w:w="1590"/>
        <w:gridCol w:w="1560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202" w:type="dxa"/>
            <w:textDirection w:val="lrTb"/>
            <w:vAlign w:val="center"/>
          </w:tcPr>
          <w:p>
            <w:pPr>
              <w:spacing w:after="0" w:line="206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项目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spacing w:after="0" w:line="20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MSK-1241</w:t>
            </w:r>
          </w:p>
        </w:tc>
        <w:tc>
          <w:tcPr>
            <w:tcW w:w="1590" w:type="dxa"/>
            <w:textDirection w:val="lrTb"/>
            <w:vAlign w:val="center"/>
          </w:tcPr>
          <w:p>
            <w:pPr>
              <w:spacing w:after="0" w:line="206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MSK-1242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spacing w:after="0" w:line="20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MSK-1243</w:t>
            </w:r>
          </w:p>
        </w:tc>
        <w:tc>
          <w:tcPr>
            <w:tcW w:w="1841" w:type="dxa"/>
            <w:textDirection w:val="lrTb"/>
            <w:vAlign w:val="center"/>
          </w:tcPr>
          <w:p>
            <w:pPr>
              <w:spacing w:after="0" w:line="206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MSK-1244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02" w:type="dxa"/>
            <w:textDirection w:val="lrTb"/>
            <w:vAlign w:val="center"/>
          </w:tcPr>
          <w:p>
            <w:pPr>
              <w:spacing w:after="0" w:line="206" w:lineRule="exact"/>
              <w:ind w:left="100" w:leftChars="0"/>
              <w:jc w:val="center"/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外观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目测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spacing w:after="0" w:line="206" w:lineRule="exact"/>
              <w:ind w:left="100" w:leftChars="0"/>
              <w:jc w:val="center"/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淡黄色液体</w:t>
            </w:r>
          </w:p>
        </w:tc>
        <w:tc>
          <w:tcPr>
            <w:tcW w:w="159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淡黄色液体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淡黄色液体</w:t>
            </w:r>
          </w:p>
        </w:tc>
        <w:tc>
          <w:tcPr>
            <w:tcW w:w="184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淡黄色液体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6" w:hRule="atLeast"/>
          <w:jc w:val="center"/>
        </w:trPr>
        <w:tc>
          <w:tcPr>
            <w:tcW w:w="3202" w:type="dxa"/>
            <w:textDirection w:val="lrTb"/>
            <w:vAlign w:val="center"/>
          </w:tcPr>
          <w:p>
            <w:pPr>
              <w:spacing w:after="0" w:line="206" w:lineRule="exact"/>
              <w:ind w:left="100" w:leftChars="0"/>
              <w:jc w:val="center"/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粘度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 xml:space="preserve">岩田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2#杯，25℃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spacing w:after="0" w:line="219" w:lineRule="exact"/>
              <w:ind w:left="100" w:leftChars="0"/>
              <w:jc w:val="center"/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±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0.5S</w:t>
            </w:r>
          </w:p>
        </w:tc>
        <w:tc>
          <w:tcPr>
            <w:tcW w:w="1590" w:type="dxa"/>
            <w:textDirection w:val="lrTb"/>
            <w:vAlign w:val="center"/>
          </w:tcPr>
          <w:p>
            <w:pPr>
              <w:spacing w:after="0" w:line="219" w:lineRule="exact"/>
              <w:ind w:left="100" w:leftChars="0"/>
              <w:jc w:val="center"/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±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0.5S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spacing w:after="0" w:line="219" w:lineRule="exact"/>
              <w:ind w:left="100" w:leftChars="0"/>
              <w:jc w:val="center"/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±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0.5S</w:t>
            </w:r>
          </w:p>
        </w:tc>
        <w:tc>
          <w:tcPr>
            <w:tcW w:w="1841" w:type="dxa"/>
            <w:textDirection w:val="lrTb"/>
            <w:vAlign w:val="center"/>
          </w:tcPr>
          <w:p>
            <w:pPr>
              <w:spacing w:after="0" w:line="219" w:lineRule="exact"/>
              <w:ind w:left="100" w:leftChars="0"/>
              <w:jc w:val="center"/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±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0.5S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3202" w:type="dxa"/>
            <w:textDirection w:val="lrTb"/>
            <w:vAlign w:val="center"/>
          </w:tcPr>
          <w:p>
            <w:pPr>
              <w:spacing w:after="0" w:line="206" w:lineRule="exact"/>
              <w:ind w:left="100" w:leftChars="0"/>
              <w:jc w:val="center"/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有效固体含量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105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℃，2h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spacing w:after="0" w:line="219" w:lineRule="exact"/>
              <w:ind w:left="100" w:leftChars="0"/>
              <w:jc w:val="center"/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2%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左右</w:t>
            </w:r>
          </w:p>
        </w:tc>
        <w:tc>
          <w:tcPr>
            <w:tcW w:w="1590" w:type="dxa"/>
            <w:textDirection w:val="lrTb"/>
            <w:vAlign w:val="center"/>
          </w:tcPr>
          <w:p>
            <w:pPr>
              <w:spacing w:after="0" w:line="219" w:lineRule="exact"/>
              <w:ind w:left="100" w:leftChars="0"/>
              <w:jc w:val="center"/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2%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左右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spacing w:after="0" w:line="219" w:lineRule="exact"/>
              <w:ind w:left="100" w:leftChars="0"/>
              <w:jc w:val="center"/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2%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左右</w:t>
            </w:r>
          </w:p>
        </w:tc>
        <w:tc>
          <w:tcPr>
            <w:tcW w:w="1841" w:type="dxa"/>
            <w:textDirection w:val="lrTb"/>
            <w:vAlign w:val="center"/>
          </w:tcPr>
          <w:p>
            <w:pPr>
              <w:spacing w:after="0" w:line="219" w:lineRule="exact"/>
              <w:ind w:left="100" w:leftChars="0"/>
              <w:jc w:val="center"/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2%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202" w:type="dxa"/>
            <w:textDirection w:val="lrTb"/>
            <w:vAlign w:val="center"/>
          </w:tcPr>
          <w:p>
            <w:pPr>
              <w:spacing w:after="0" w:line="206" w:lineRule="exact"/>
              <w:ind w:left="100" w:left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适用基材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spacing w:after="0" w:line="206" w:lineRule="exact"/>
              <w:ind w:left="100" w:left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尼龙专用</w:t>
            </w:r>
          </w:p>
        </w:tc>
        <w:tc>
          <w:tcPr>
            <w:tcW w:w="1590" w:type="dxa"/>
            <w:textDirection w:val="lrTb"/>
            <w:vAlign w:val="center"/>
          </w:tcPr>
          <w:p>
            <w:pPr>
              <w:spacing w:after="0" w:line="206" w:lineRule="exact"/>
              <w:ind w:left="100" w:left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尼龙、玻纤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spacing w:after="0" w:line="206" w:lineRule="exact"/>
              <w:ind w:left="100" w:left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不锈钢、铝材</w:t>
            </w:r>
          </w:p>
        </w:tc>
        <w:tc>
          <w:tcPr>
            <w:tcW w:w="1841" w:type="dxa"/>
            <w:textDirection w:val="lrTb"/>
            <w:vAlign w:val="center"/>
          </w:tcPr>
          <w:p>
            <w:pPr>
              <w:spacing w:after="0" w:line="206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PC、PET、PI、金属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202" w:type="dxa"/>
            <w:textDirection w:val="lrTb"/>
            <w:vAlign w:val="center"/>
          </w:tcPr>
          <w:p>
            <w:pPr>
              <w:spacing w:after="0" w:line="206" w:lineRule="exact"/>
              <w:ind w:left="100" w:left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分装器皿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spacing w:after="0" w:line="206" w:lineRule="exact"/>
              <w:ind w:left="100" w:left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镀锌金属</w:t>
            </w:r>
          </w:p>
        </w:tc>
        <w:tc>
          <w:tcPr>
            <w:tcW w:w="1590" w:type="dxa"/>
            <w:textDirection w:val="lrTb"/>
            <w:vAlign w:val="center"/>
          </w:tcPr>
          <w:p>
            <w:pPr>
              <w:spacing w:after="0" w:line="206" w:lineRule="exact"/>
              <w:ind w:left="100" w:left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镀锌金属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spacing w:after="0" w:line="206" w:lineRule="exact"/>
              <w:ind w:left="100" w:left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聚乙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/丙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烯</w:t>
            </w:r>
          </w:p>
        </w:tc>
        <w:tc>
          <w:tcPr>
            <w:tcW w:w="1841" w:type="dxa"/>
            <w:textDirection w:val="lrTb"/>
            <w:vAlign w:val="center"/>
          </w:tcPr>
          <w:p>
            <w:pPr>
              <w:spacing w:after="0" w:line="206" w:lineRule="exact"/>
              <w:ind w:left="100" w:left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聚乙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/丙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202" w:type="dxa"/>
            <w:textDirection w:val="lrTb"/>
            <w:vAlign w:val="center"/>
          </w:tcPr>
          <w:p>
            <w:pPr>
              <w:spacing w:after="0" w:line="206" w:lineRule="exact"/>
              <w:ind w:left="100" w:left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固化条件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spacing w:after="0" w:line="206" w:lineRule="exact"/>
              <w:ind w:left="100" w:left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100℃×10min</w:t>
            </w:r>
          </w:p>
        </w:tc>
        <w:tc>
          <w:tcPr>
            <w:tcW w:w="1590" w:type="dxa"/>
            <w:textDirection w:val="lrTb"/>
            <w:vAlign w:val="center"/>
          </w:tcPr>
          <w:p>
            <w:pPr>
              <w:spacing w:after="0" w:line="206" w:lineRule="exact"/>
              <w:ind w:left="100" w:left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100℃×10min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spacing w:after="0" w:line="206" w:lineRule="exact"/>
              <w:ind w:left="100" w:left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100℃×10min</w:t>
            </w:r>
          </w:p>
        </w:tc>
        <w:tc>
          <w:tcPr>
            <w:tcW w:w="1841" w:type="dxa"/>
            <w:textDirection w:val="lrTb"/>
            <w:vAlign w:val="center"/>
          </w:tcPr>
          <w:p>
            <w:pPr>
              <w:spacing w:after="0" w:line="206" w:lineRule="exact"/>
              <w:ind w:left="100" w:left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100℃×10min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202" w:type="dxa"/>
            <w:textDirection w:val="lrTb"/>
            <w:vAlign w:val="center"/>
          </w:tcPr>
          <w:p>
            <w:pPr>
              <w:spacing w:after="0" w:line="206" w:lineRule="exact"/>
              <w:ind w:left="100" w:leftChars="0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粘接强度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手剥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spacing w:after="0" w:line="219" w:lineRule="exact"/>
              <w:ind w:left="100" w:leftChars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内聚破坏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 100 %</w:t>
            </w:r>
          </w:p>
        </w:tc>
        <w:tc>
          <w:tcPr>
            <w:tcW w:w="1590" w:type="dxa"/>
            <w:textDirection w:val="lrTb"/>
            <w:vAlign w:val="center"/>
          </w:tcPr>
          <w:p>
            <w:pPr>
              <w:spacing w:after="0" w:line="219" w:lineRule="exact"/>
              <w:ind w:left="100" w:leftChars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内聚破坏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 100 %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spacing w:after="0" w:line="219" w:lineRule="exact"/>
              <w:ind w:left="100" w:leftChars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内聚破坏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 100 %</w:t>
            </w:r>
          </w:p>
        </w:tc>
        <w:tc>
          <w:tcPr>
            <w:tcW w:w="1841" w:type="dxa"/>
            <w:textDirection w:val="lrTb"/>
            <w:vAlign w:val="center"/>
          </w:tcPr>
          <w:p>
            <w:pPr>
              <w:spacing w:after="0" w:line="219" w:lineRule="exact"/>
              <w:ind w:left="100" w:leftChars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内聚破坏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 100 %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202" w:type="dxa"/>
            <w:textDirection w:val="lrTb"/>
            <w:vAlign w:val="center"/>
          </w:tcPr>
          <w:p>
            <w:pPr>
              <w:spacing w:after="0" w:line="206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冷热冲击</w:t>
            </w:r>
          </w:p>
          <w:p>
            <w:pPr>
              <w:spacing w:after="0" w:line="206" w:lineRule="exact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(80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℃×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 1hr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～—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40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℃×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1hr)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×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12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循环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spacing w:after="0" w:line="206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无异常</w:t>
            </w:r>
          </w:p>
        </w:tc>
        <w:tc>
          <w:tcPr>
            <w:tcW w:w="1590" w:type="dxa"/>
            <w:textDirection w:val="lrTb"/>
            <w:vAlign w:val="center"/>
          </w:tcPr>
          <w:p>
            <w:pPr>
              <w:spacing w:after="0" w:line="206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无异常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spacing w:after="0" w:line="206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无异常</w:t>
            </w:r>
          </w:p>
        </w:tc>
        <w:tc>
          <w:tcPr>
            <w:tcW w:w="1841" w:type="dxa"/>
            <w:textDirection w:val="lrTb"/>
            <w:vAlign w:val="center"/>
          </w:tcPr>
          <w:p>
            <w:pPr>
              <w:spacing w:after="0" w:line="206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无异常</w:t>
            </w:r>
          </w:p>
        </w:tc>
      </w:tr>
    </w:tbl>
    <w:p>
      <w:pPr>
        <w:spacing w:after="0" w:line="240" w:lineRule="exact"/>
        <w:ind w:left="80"/>
        <w:rPr>
          <w:rFonts w:ascii="宋体" w:hAnsi="宋体" w:eastAsia="宋体" w:cs="宋体"/>
          <w:b/>
          <w:bCs/>
          <w:color w:val="auto"/>
          <w:sz w:val="21"/>
          <w:szCs w:val="21"/>
        </w:rPr>
      </w:pPr>
    </w:p>
    <w:p>
      <w:pPr>
        <w:spacing w:after="0" w:line="240" w:lineRule="exact"/>
        <w:ind w:left="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包装规格</w:t>
      </w:r>
    </w:p>
    <w:p>
      <w:pPr>
        <w:spacing w:after="0" w:line="72" w:lineRule="exact"/>
        <w:rPr>
          <w:color w:val="auto"/>
          <w:sz w:val="24"/>
          <w:szCs w:val="24"/>
        </w:rPr>
      </w:pPr>
    </w:p>
    <w:p>
      <w:pPr>
        <w:spacing w:after="0" w:line="240" w:lineRule="exact"/>
        <w:rPr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1Kg/罐;3Kg/罐</w:t>
      </w:r>
    </w:p>
    <w:p>
      <w:pPr>
        <w:spacing w:after="0" w:line="72" w:lineRule="exact"/>
        <w:rPr>
          <w:color w:val="auto"/>
          <w:sz w:val="24"/>
          <w:szCs w:val="24"/>
        </w:rPr>
      </w:pPr>
    </w:p>
    <w:p>
      <w:pPr>
        <w:spacing w:after="0" w:line="240" w:lineRule="exact"/>
        <w:ind w:left="80"/>
        <w:rPr>
          <w:rFonts w:ascii="宋体" w:hAnsi="宋体" w:eastAsia="宋体" w:cs="宋体"/>
          <w:b/>
          <w:bCs/>
          <w:color w:val="auto"/>
          <w:sz w:val="21"/>
          <w:szCs w:val="21"/>
        </w:rPr>
      </w:pPr>
    </w:p>
    <w:p>
      <w:pPr>
        <w:spacing w:after="0" w:line="240" w:lineRule="exact"/>
        <w:ind w:left="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储存条件</w:t>
      </w:r>
    </w:p>
    <w:p>
      <w:pPr>
        <w:spacing w:after="0" w:line="95" w:lineRule="exact"/>
        <w:rPr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110" w:leftChars="50" w:right="0" w:rightChars="0" w:firstLine="0" w:firstLineChars="0"/>
        <w:jc w:val="left"/>
        <w:textAlignment w:val="auto"/>
        <w:outlineLvl w:val="9"/>
        <w:rPr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密闭存放于阴凉干燥通风处（储存温度 0～35℃，湿度≤65％）；用镀锌金属、聚乙烯或聚丙烯容器收集和贮存,易燃，远离火源</w:t>
      </w:r>
      <w:r>
        <w:rPr>
          <w:rFonts w:ascii="宋体" w:hAnsi="宋体" w:eastAsia="宋体" w:cs="宋体"/>
          <w:color w:val="auto"/>
          <w:sz w:val="21"/>
          <w:szCs w:val="21"/>
        </w:rPr>
        <w:t>。</w:t>
      </w:r>
    </w:p>
    <w:p>
      <w:pPr>
        <w:spacing w:after="0" w:line="72" w:lineRule="exact"/>
        <w:rPr>
          <w:color w:val="auto"/>
          <w:sz w:val="24"/>
          <w:szCs w:val="24"/>
        </w:rPr>
      </w:pPr>
    </w:p>
    <w:p>
      <w:pPr>
        <w:spacing w:after="0" w:line="240" w:lineRule="exact"/>
        <w:ind w:left="80"/>
        <w:rPr>
          <w:rFonts w:ascii="宋体" w:hAnsi="宋体" w:eastAsia="宋体" w:cs="宋体"/>
          <w:b/>
          <w:bCs/>
          <w:color w:val="auto"/>
          <w:sz w:val="21"/>
          <w:szCs w:val="21"/>
        </w:rPr>
      </w:pPr>
    </w:p>
    <w:p>
      <w:pPr>
        <w:spacing w:after="0" w:line="240" w:lineRule="exact"/>
        <w:ind w:left="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保质期</w:t>
      </w:r>
    </w:p>
    <w:p>
      <w:pPr>
        <w:spacing w:after="0" w:line="72" w:lineRule="exact"/>
        <w:rPr>
          <w:color w:val="auto"/>
          <w:sz w:val="24"/>
          <w:szCs w:val="24"/>
        </w:rPr>
      </w:pPr>
    </w:p>
    <w:p>
      <w:pPr>
        <w:spacing w:after="0" w:line="240" w:lineRule="exact"/>
        <w:rPr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2个月。</w:t>
      </w:r>
    </w:p>
    <w:p>
      <w:pPr>
        <w:spacing w:after="0" w:line="72" w:lineRule="exact"/>
        <w:rPr>
          <w:color w:val="auto"/>
          <w:sz w:val="24"/>
          <w:szCs w:val="24"/>
        </w:rPr>
      </w:pPr>
    </w:p>
    <w:p>
      <w:pPr>
        <w:spacing w:after="0" w:line="240" w:lineRule="exact"/>
        <w:ind w:left="80"/>
        <w:rPr>
          <w:rFonts w:ascii="宋体" w:hAnsi="宋体" w:eastAsia="宋体" w:cs="宋体"/>
          <w:b/>
          <w:bCs/>
          <w:color w:val="auto"/>
          <w:sz w:val="21"/>
          <w:szCs w:val="21"/>
        </w:rPr>
      </w:pPr>
    </w:p>
    <w:p>
      <w:pPr>
        <w:spacing w:after="0" w:line="240" w:lineRule="exact"/>
        <w:ind w:left="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注意事项</w:t>
      </w:r>
    </w:p>
    <w:p>
      <w:pPr>
        <w:spacing w:after="0" w:line="69" w:lineRule="exact"/>
        <w:rPr>
          <w:color w:val="auto"/>
          <w:sz w:val="24"/>
          <w:szCs w:val="24"/>
        </w:rPr>
      </w:pPr>
    </w:p>
    <w:p>
      <w:pPr>
        <w:spacing w:after="0" w:line="240" w:lineRule="exact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0"/>
          <w:szCs w:val="20"/>
          <w:lang w:val="en-US" w:eastAsia="zh-CN"/>
        </w:rPr>
        <w:t xml:space="preserve">  </w:t>
      </w:r>
      <w:r>
        <w:rPr>
          <w:rFonts w:ascii="宋体" w:hAnsi="宋体" w:eastAsia="宋体" w:cs="宋体"/>
          <w:color w:val="auto"/>
          <w:sz w:val="21"/>
          <w:szCs w:val="21"/>
        </w:rPr>
        <w:t>1.产品涂刷、喷涂或浸泡干燥后并非长期有效，建议在12小时（时效性）内用于模压（环境湿度≤65％）。</w:t>
      </w:r>
    </w:p>
    <w:p>
      <w:pPr>
        <w:spacing w:after="0" w:line="240" w:lineRule="exact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2.本品不宜长时间暴露在 空气中，开盖后请尽快密封，避免溶剂挥发或产品变质。</w:t>
      </w:r>
    </w:p>
    <w:p>
      <w:pPr>
        <w:spacing w:after="0" w:line="69" w:lineRule="exact"/>
        <w:rPr>
          <w:color w:val="auto"/>
          <w:sz w:val="24"/>
          <w:szCs w:val="24"/>
        </w:rPr>
      </w:pPr>
    </w:p>
    <w:p>
      <w:pPr>
        <w:spacing w:after="0" w:line="240" w:lineRule="exact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3</w:t>
      </w:r>
      <w:r>
        <w:rPr>
          <w:rFonts w:ascii="宋体" w:hAnsi="宋体" w:eastAsia="宋体" w:cs="宋体"/>
          <w:color w:val="auto"/>
          <w:sz w:val="21"/>
          <w:szCs w:val="21"/>
        </w:rPr>
        <w:t>.产品须在通风良好条件下使用，注意劳保穿戴，避免施工过程中人体大量吸入，避免皮肤接触，禁止食用及在现场使用明火，保持环境温度，减少静电。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1" w:lineRule="exact"/>
        <w:rPr>
          <w:color w:val="auto"/>
          <w:sz w:val="24"/>
          <w:szCs w:val="24"/>
        </w:rPr>
      </w:pPr>
    </w:p>
    <w:sectPr>
      <w:pgSz w:w="11900" w:h="16840"/>
      <w:pgMar w:top="534" w:right="744" w:bottom="0" w:left="1000" w:header="0" w:footer="0" w:gutter="0"/>
      <w:cols w:equalWidth="0" w:num="1">
        <w:col w:w="10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124BD"/>
    <w:rsid w:val="120666BB"/>
    <w:rsid w:val="499F0E56"/>
    <w:rsid w:val="4B565311"/>
    <w:rsid w:val="63464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ScaleCrop>false</ScaleCrop>
  <LinksUpToDate>false</LinksUpToDate>
  <CharactersWithSpaces>3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2018-04-09T15:57:00Z</dcterms:created>
  <dc:creator>Windows User</dc:creator>
  <cp:lastModifiedBy>Administrator</cp:lastModifiedBy>
  <dcterms:modified xsi:type="dcterms:W3CDTF">2020-02-20T02:27:27Z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