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MR2318AB 玻纤涂覆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胶</w:t>
      </w:r>
      <w:bookmarkStart w:id="1" w:name="_GoBack"/>
      <w:bookmarkEnd w:id="1"/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MR2318AB 液体硅橡胶是一种加温固化的有机硅材料。这种双组分弹性硅胶设计用于封装、保护处在严苛条件下的电器产品。可以有条件应用在纺织产品的表面涂覆。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MR2318AB 液体硅橡胶使用了新型技术。使用时按照 100:2（重量比）的比例彻底混合 A、B 两组分后，产品会在一定温度、时间条件内固化，形成弹性的缓冲材料。固化后的弹性体具有以下特性：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·抵抗湿气、污物和其它大气组分；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·减轻机械、热冲击和震动引起的机械应力和张力；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·高频电气性能好；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·无溶剂，无固化副产物；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·在-50-250℃间稳定的机械和电气性能；优异的阻燃性。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常规性能：</w:t>
      </w:r>
    </w:p>
    <w:tbl>
      <w:tblPr>
        <w:tblStyle w:val="8"/>
        <w:tblW w:w="0" w:type="auto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964"/>
        <w:gridCol w:w="1920"/>
        <w:gridCol w:w="199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测试项目</w:t>
            </w:r>
          </w:p>
        </w:tc>
        <w:tc>
          <w:tcPr>
            <w:tcW w:w="19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测试标准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</w:t>
            </w:r>
          </w:p>
        </w:tc>
        <w:tc>
          <w:tcPr>
            <w:tcW w:w="199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A组分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B组分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观</w:t>
            </w:r>
          </w:p>
        </w:tc>
        <w:tc>
          <w:tcPr>
            <w:tcW w:w="19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测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---</w:t>
            </w:r>
          </w:p>
        </w:tc>
        <w:tc>
          <w:tcPr>
            <w:tcW w:w="199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透明粘稠液体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透明粘稠液体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10247-2008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mPa·s（25℃）</w:t>
            </w:r>
          </w:p>
        </w:tc>
        <w:tc>
          <w:tcPr>
            <w:tcW w:w="199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 万±0.5 万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500±150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13354-92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g/cm³（25℃）</w:t>
            </w:r>
          </w:p>
        </w:tc>
        <w:tc>
          <w:tcPr>
            <w:tcW w:w="199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1.10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0.99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操作工艺：</w:t>
      </w:r>
    </w:p>
    <w:tbl>
      <w:tblPr>
        <w:tblStyle w:val="8"/>
        <w:tblW w:w="0" w:type="auto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169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目</w:t>
            </w:r>
          </w:p>
        </w:tc>
        <w:tc>
          <w:tcPr>
            <w:tcW w:w="21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单位或条件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混合比例</w:t>
            </w:r>
          </w:p>
        </w:tc>
        <w:tc>
          <w:tcPr>
            <w:tcW w:w="21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重量比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 :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混合比例</w:t>
            </w:r>
          </w:p>
        </w:tc>
        <w:tc>
          <w:tcPr>
            <w:tcW w:w="21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体积比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 : 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混合粘度</w:t>
            </w:r>
          </w:p>
        </w:tc>
        <w:tc>
          <w:tcPr>
            <w:tcW w:w="21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mPa·s（25℃）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5万±0.5万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混合密度</w:t>
            </w:r>
          </w:p>
        </w:tc>
        <w:tc>
          <w:tcPr>
            <w:tcW w:w="21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g/cm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³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（25℃）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操作时间（1）</w:t>
            </w:r>
          </w:p>
        </w:tc>
        <w:tc>
          <w:tcPr>
            <w:tcW w:w="21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小时（25℃）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≥48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固化时间</w:t>
            </w:r>
          </w:p>
        </w:tc>
        <w:tc>
          <w:tcPr>
            <w:tcW w:w="21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℃/min</w:t>
            </w:r>
          </w:p>
        </w:tc>
        <w:tc>
          <w:tcPr>
            <w:tcW w:w="298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180/10</w:t>
            </w:r>
          </w:p>
        </w:tc>
      </w:tr>
    </w:tbl>
    <w:p>
      <w:pPr>
        <w:pStyle w:val="4"/>
        <w:ind w:left="5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（1）操作时间是以配胶量100g来测试的。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操作注意事项：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840" w:leftChars="200" w:hanging="420" w:hanging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1、 产品可以添加溶剂作为涂覆产品使用。推荐的溶剂是甲苯、二甲苯、石油醚。使用时先将 A 组分与溶剂混合均匀，再添加 B 组分，继续搅拌均匀后使用。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840" w:leftChars="200" w:hanging="420" w:hanging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2、 搅拌时应注意同方向搅拌，否则会混入过多的气泡；容器边框和底部的胶料也应搅拌均匀，否则会出现由搅拌不均而引起局部不固化现象。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3、 浇注到产品上再次抽真空去除气泡，可提高固化后产品的综合性能。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840" w:leftChars="200" w:hanging="420" w:hanging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4、 温度过低会导致固化速度偏慢，如有需要可提高加热温度或者延长固化时间。也可以通过提高固化剂的使用量来缩短固化时间。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840" w:leftChars="200" w:hanging="420" w:hanging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5、 MR2318AB 液体硅橡胶与含 N、S、P 等元素的化合物以及一些重金属离子化合物接触， 会出现难固化或不固化的现象。这些重金属离子包括 Sn、Pb、Hg、Bi、As 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38" w:leftChars="304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38" w:leftChars="304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38" w:leftChars="304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典型性能：</w:t>
      </w:r>
    </w:p>
    <w:tbl>
      <w:tblPr>
        <w:tblStyle w:val="8"/>
        <w:tblW w:w="0" w:type="auto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407"/>
        <w:gridCol w:w="2352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测试标准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硬度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531.1-2008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Shore A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39±4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扯断伸长率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528-2009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0" distR="0">
                  <wp:extent cx="59690" cy="103505"/>
                  <wp:effectExtent l="0" t="0" r="16510" b="10795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" cy="10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≥200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抗拉强度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528-2009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Mpa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≥3.0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撕裂强度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GBT 529-2008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kN/m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导热系数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10297-1998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W/mK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膨胀系数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20673-2006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μm/（m·℃）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吸水率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8810-2005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(24h，25℃) %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0.01-0.02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介电强度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1695-2005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kV/mm（25℃）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损耗因素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1693-2007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（1MHz）(25℃)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介电常数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1693-2007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（1MHz）(25℃)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体积电阻</w:t>
            </w:r>
          </w:p>
        </w:tc>
        <w:tc>
          <w:tcPr>
            <w:tcW w:w="240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1692-2008</w:t>
            </w:r>
          </w:p>
        </w:tc>
        <w:tc>
          <w:tcPr>
            <w:tcW w:w="23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（DC500V）Ω·cm</w:t>
            </w:r>
          </w:p>
        </w:tc>
        <w:tc>
          <w:tcPr>
            <w:tcW w:w="21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1.2×10</w:t>
            </w:r>
            <w:r>
              <w:rPr>
                <w:position w:val="7"/>
                <w:sz w:val="13"/>
              </w:rPr>
              <w:t>15</w:t>
            </w:r>
          </w:p>
        </w:tc>
      </w:tr>
    </w:tbl>
    <w:p>
      <w:pPr>
        <w:spacing w:before="0"/>
        <w:ind w:left="220" w:right="0" w:firstLine="0"/>
        <w:jc w:val="left"/>
        <w:rPr>
          <w:rFonts w:hint="eastAsia" w:ascii="楷体" w:hAnsi="楷体" w:eastAsia="楷体" w:cs="楷体"/>
          <w:b/>
          <w:sz w:val="21"/>
        </w:rPr>
      </w:pPr>
      <w:r>
        <w:rPr>
          <w:rFonts w:hint="eastAsia" w:ascii="楷体" w:hAnsi="楷体" w:eastAsia="楷体" w:cs="楷体"/>
          <w:b/>
          <w:sz w:val="21"/>
        </w:rPr>
        <w:t>注：以上所有数据都在胶 180℃/20min 固化，室温条件下停放 2 小时后测定所得。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包装规格：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A 组分：20kg/桶；B 组分：1kg/瓶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储存及运输：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A、B 组分需避光、避热、密封保存（可作为非危险品运输及保存）；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储存期 12 个月（25℃）。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240" w:lineRule="auto"/>
        <w:ind w:right="-102" w:rightChars="0"/>
        <w:textAlignment w:val="auto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zh-CN"/>
        </w:rPr>
      </w:pP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7A52F"/>
    <w:multiLevelType w:val="singleLevel"/>
    <w:tmpl w:val="9797A5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0B8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72C0B88"/>
    <w:rsid w:val="119E09BA"/>
    <w:rsid w:val="12CD419D"/>
    <w:rsid w:val="146E0D83"/>
    <w:rsid w:val="15CA57E6"/>
    <w:rsid w:val="169F4C69"/>
    <w:rsid w:val="176C4423"/>
    <w:rsid w:val="1BF34B5D"/>
    <w:rsid w:val="1D232B94"/>
    <w:rsid w:val="2B6062F1"/>
    <w:rsid w:val="2C3350AB"/>
    <w:rsid w:val="2D384E35"/>
    <w:rsid w:val="301E38BA"/>
    <w:rsid w:val="301F1CBB"/>
    <w:rsid w:val="33D10631"/>
    <w:rsid w:val="363B65EE"/>
    <w:rsid w:val="395D4AF3"/>
    <w:rsid w:val="3C7578B4"/>
    <w:rsid w:val="3D640B09"/>
    <w:rsid w:val="3EA95581"/>
    <w:rsid w:val="4051345C"/>
    <w:rsid w:val="4511011A"/>
    <w:rsid w:val="460279A2"/>
    <w:rsid w:val="478143C2"/>
    <w:rsid w:val="47FF471A"/>
    <w:rsid w:val="4A352382"/>
    <w:rsid w:val="4AED7749"/>
    <w:rsid w:val="4DCE2EDB"/>
    <w:rsid w:val="502E2CEB"/>
    <w:rsid w:val="55F54066"/>
    <w:rsid w:val="56FF0DED"/>
    <w:rsid w:val="5CEC2807"/>
    <w:rsid w:val="5EDE552C"/>
    <w:rsid w:val="64C8306C"/>
    <w:rsid w:val="68E6170E"/>
    <w:rsid w:val="6A57513F"/>
    <w:rsid w:val="6DF07840"/>
    <w:rsid w:val="70C54DB5"/>
    <w:rsid w:val="75CF329D"/>
    <w:rsid w:val="763A0A29"/>
    <w:rsid w:val="79822A33"/>
    <w:rsid w:val="7C88652A"/>
    <w:rsid w:val="7C940301"/>
    <w:rsid w:val="7E4368E6"/>
    <w:rsid w:val="7F416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3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2020-05-21T07:35:33Z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