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79"/>
        <w:ind w:left="-878" w:leftChars="0" w:right="-790" w:rightChars="-359" w:firstLine="0" w:firstLineChars="0"/>
        <w:jc w:val="center"/>
        <w:rPr>
          <w:sz w:val="36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inline distT="0" distB="0" distL="114300" distR="114300">
            <wp:extent cx="6610350" cy="1403350"/>
            <wp:effectExtent l="0" t="0" r="0" b="6350"/>
            <wp:docPr id="7" name="图片 2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180305090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z w:val="36"/>
          <w:lang w:val="en-US" w:eastAsia="zh-CN"/>
        </w:rPr>
        <w:t>MR</w:t>
      </w:r>
      <w:r>
        <w:rPr>
          <w:rFonts w:ascii="Times New Roman" w:eastAsia="Times New Roman"/>
          <w:sz w:val="36"/>
        </w:rPr>
        <w:t>6619</w:t>
      </w:r>
      <w:r>
        <w:rPr>
          <w:rFonts w:hint="eastAsia" w:ascii="Times New Roman" w:eastAsia="宋体"/>
          <w:sz w:val="36"/>
          <w:lang w:val="en-US" w:eastAsia="zh-CN"/>
        </w:rPr>
        <w:t>A/B</w:t>
      </w:r>
      <w:r>
        <w:rPr>
          <w:rFonts w:ascii="Times New Roman" w:eastAsia="Times New Roman"/>
          <w:sz w:val="36"/>
        </w:rPr>
        <w:t xml:space="preserve"> </w:t>
      </w:r>
      <w:r>
        <w:rPr>
          <w:sz w:val="36"/>
        </w:rPr>
        <w:t>双组份有机硅灌封胶</w:t>
      </w: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spacing w:before="101" w:line="278" w:lineRule="auto"/>
        <w:ind w:left="-880" w:leftChars="0" w:right="-790" w:rightChars="0" w:firstLine="420" w:firstLineChars="0"/>
        <w:jc w:val="left"/>
        <w:rPr>
          <w:rFonts w:hint="eastAsia" w:ascii="楷体" w:hAnsi="楷体" w:eastAsia="楷体" w:cs="楷体"/>
          <w:spacing w:val="-12"/>
          <w:sz w:val="21"/>
          <w:szCs w:val="21"/>
          <w:lang w:val="en-US" w:eastAsia="zh-CN" w:bidi="zh-CN"/>
        </w:rPr>
      </w:pPr>
      <w:r>
        <w:rPr>
          <w:rFonts w:hint="eastAsia" w:ascii="楷体" w:hAnsi="楷体" w:eastAsia="楷体" w:cs="楷体"/>
          <w:spacing w:val="-12"/>
          <w:sz w:val="21"/>
          <w:szCs w:val="21"/>
          <w:lang w:val="en-US" w:eastAsia="zh-CN" w:bidi="zh-CN"/>
        </w:rPr>
        <w:t>M</w:t>
      </w:r>
      <w:r>
        <w:rPr>
          <w:rFonts w:hint="eastAsia" w:cs="楷体"/>
          <w:spacing w:val="-12"/>
          <w:sz w:val="21"/>
          <w:szCs w:val="21"/>
          <w:lang w:val="en-US" w:eastAsia="zh-CN" w:bidi="zh-CN"/>
        </w:rPr>
        <w:t>R</w:t>
      </w:r>
      <w:r>
        <w:rPr>
          <w:rFonts w:hint="eastAsia" w:ascii="楷体" w:hAnsi="楷体" w:eastAsia="楷体" w:cs="楷体"/>
          <w:spacing w:val="-12"/>
          <w:sz w:val="21"/>
          <w:szCs w:val="21"/>
          <w:lang w:val="en-US" w:eastAsia="zh-CN" w:bidi="zh-CN"/>
        </w:rPr>
        <w:t>6619</w:t>
      </w:r>
      <w:r>
        <w:rPr>
          <w:rFonts w:hint="eastAsia" w:cs="楷体"/>
          <w:spacing w:val="-12"/>
          <w:sz w:val="21"/>
          <w:szCs w:val="21"/>
          <w:lang w:val="en-US" w:eastAsia="zh-CN" w:bidi="zh-CN"/>
        </w:rPr>
        <w:t>A/B</w:t>
      </w:r>
      <w:r>
        <w:rPr>
          <w:rFonts w:hint="eastAsia" w:ascii="楷体" w:hAnsi="楷体" w:eastAsia="楷体" w:cs="楷体"/>
          <w:spacing w:val="-12"/>
          <w:sz w:val="21"/>
          <w:szCs w:val="21"/>
          <w:lang w:val="en-US" w:eastAsia="zh-CN" w:bidi="zh-CN"/>
        </w:rPr>
        <w:t xml:space="preserve"> 双组份有机硅灌封胶是一种导热性能好，流动性能优异的导热有机硅电子灌封胶。其在固化前具有较低的粘度，两个组分混合后可以在室温下固化，升温可以加速固化；固化时材料无收缩。该产品通过对电子元件进行灌封以有效的防止水分、尘埃及有害气体对电子元器件的侵入</w:t>
      </w:r>
      <w:r>
        <w:rPr>
          <w:rFonts w:hint="eastAsia" w:cs="楷体"/>
          <w:spacing w:val="-12"/>
          <w:sz w:val="21"/>
          <w:szCs w:val="21"/>
          <w:lang w:val="en-US" w:eastAsia="zh-CN" w:bidi="zh-CN"/>
        </w:rPr>
        <w:t>，</w:t>
      </w:r>
      <w:r>
        <w:rPr>
          <w:rFonts w:hint="eastAsia" w:ascii="楷体" w:hAnsi="楷体" w:eastAsia="楷体" w:cs="楷体"/>
          <w:spacing w:val="-12"/>
          <w:sz w:val="21"/>
          <w:szCs w:val="21"/>
          <w:lang w:val="en-US" w:eastAsia="zh-CN" w:bidi="zh-CN"/>
        </w:rPr>
        <w:t>减缓振动，防止外力损伤和稳定元器件参数，将外界的不良影响降到最低。同时，导热材料的运用可以有效的使电路产出的热得以扩散，阻止线路热量集中，温度上升，从而延长电子器件的使用寿命。</w:t>
      </w:r>
    </w:p>
    <w:p>
      <w:pPr>
        <w:spacing w:after="0" w:line="278" w:lineRule="auto"/>
        <w:jc w:val="left"/>
        <w:rPr>
          <w:sz w:val="21"/>
        </w:rPr>
        <w:sectPr>
          <w:headerReference r:id="rId3" w:type="default"/>
          <w:type w:val="continuous"/>
          <w:pgSz w:w="11910" w:h="16840"/>
          <w:pgMar w:top="128" w:right="1560" w:bottom="280" w:left="1680" w:header="0" w:footer="1380" w:gutter="0"/>
        </w:sect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特性和优点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流动性好，易灌封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线收缩率低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100%固体，无固化副产物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使用温度-50℃~200℃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UL 94 V-0（E469464）</w:t>
      </w:r>
    </w:p>
    <w:p>
      <w:pPr>
        <w:pStyle w:val="3"/>
        <w:rPr>
          <w:sz w:val="26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产品</w:t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功率模块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大功率电源模块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控制器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逆变器</w:t>
      </w:r>
    </w:p>
    <w:p>
      <w:pPr>
        <w:pStyle w:val="8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车用电子产品</w:t>
      </w:r>
    </w:p>
    <w:p>
      <w:pPr>
        <w:pStyle w:val="2"/>
        <w:ind w:left="211" w:leftChars="96" w:firstLine="8" w:firstLineChars="0"/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3569970</wp:posOffset>
                </wp:positionH>
                <wp:positionV relativeFrom="paragraph">
                  <wp:posOffset>-2884170</wp:posOffset>
                </wp:positionV>
                <wp:extent cx="3282315" cy="324294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15" cy="324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5158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12"/>
                              <w:gridCol w:w="1579"/>
                              <w:gridCol w:w="176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610" w:right="797"/>
                                    <w:jc w:val="center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性能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right="19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8"/>
                                      <w:lang w:val="en-US" w:eastAsia="zh-CN"/>
                                    </w:rPr>
                                    <w:t>MR</w:t>
                                  </w:r>
                                  <w:r>
                                    <w:rPr>
                                      <w:sz w:val="18"/>
                                    </w:rPr>
                                    <w:t>6619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213" w:right="55"/>
                                    <w:jc w:val="center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测试标准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</w:tblPrEx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5158" w:type="dxa"/>
                                  <w:gridSpan w:val="3"/>
                                  <w:shd w:val="clear" w:color="auto" w:fill="33CC33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2"/>
                                    <w:ind w:left="369"/>
                                    <w:jc w:val="both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未固化性能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610" w:right="797"/>
                                    <w:jc w:val="center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颜色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167" w:right="203"/>
                                    <w:jc w:val="center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白色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灰色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213" w:right="55"/>
                                    <w:jc w:val="center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目视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left="1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组分粘度</w:t>
                                  </w:r>
                                  <w:r>
                                    <w:rPr>
                                      <w:sz w:val="18"/>
                                    </w:rPr>
                                    <w:t>/mPa·s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2500</w:t>
                                  </w: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214" w:righ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ASTM D1084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组分粘度</w:t>
                                  </w:r>
                                  <w:r>
                                    <w:rPr>
                                      <w:sz w:val="18"/>
                                    </w:rPr>
                                    <w:t>/mPa·s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2500</w:t>
                                  </w: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214" w:righ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ASTM D1084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left="9"/>
                                    <w:jc w:val="center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使用比例（重量比）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right="2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1:1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left="213" w:right="55"/>
                                    <w:jc w:val="center"/>
                                    <w:rPr>
                                      <w:rFonts w:ascii="楷体" w:hAnsi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——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19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混合粘度</w:t>
                                  </w:r>
                                  <w:r>
                                    <w:rPr>
                                      <w:sz w:val="18"/>
                                    </w:rPr>
                                    <w:t>/mPa·s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2500</w:t>
                                  </w: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214" w:righ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ASTM D1084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9" w:hRule="atLeast"/>
                              </w:trPr>
                              <w:tc>
                                <w:tcPr>
                                  <w:tcW w:w="5158" w:type="dxa"/>
                                  <w:gridSpan w:val="3"/>
                                  <w:shd w:val="clear" w:color="auto" w:fill="33CC33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2"/>
                                    <w:ind w:left="369"/>
                                    <w:jc w:val="both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操作性能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28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操作时间</w:t>
                                  </w:r>
                                  <w:r>
                                    <w:rPr>
                                      <w:sz w:val="18"/>
                                    </w:rPr>
                                    <w:t>/min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62"/>
                                    <w:ind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30~40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213" w:right="55"/>
                                    <w:jc w:val="center"/>
                                    <w:rPr>
                                      <w:rFonts w:ascii="楷体" w:hAnsi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——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left="114"/>
                                    <w:jc w:val="center"/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固化时间</w:t>
                                  </w:r>
                                  <w:r>
                                    <w:rPr>
                                      <w:sz w:val="18"/>
                                    </w:rPr>
                                    <w:t>/h@25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4~6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left="213" w:right="55"/>
                                    <w:jc w:val="center"/>
                                    <w:rPr>
                                      <w:rFonts w:ascii="楷体" w:hAnsi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——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21"/>
                                    <w:jc w:val="center"/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固化时间</w:t>
                                  </w:r>
                                  <w:r>
                                    <w:rPr>
                                      <w:sz w:val="18"/>
                                    </w:rPr>
                                    <w:t>/min@80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62"/>
                                    <w:ind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20~30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213" w:right="55"/>
                                    <w:jc w:val="center"/>
                                    <w:rPr>
                                      <w:rFonts w:ascii="楷体" w:hAnsi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——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5158" w:type="dxa"/>
                                  <w:gridSpan w:val="3"/>
                                  <w:shd w:val="clear" w:color="auto" w:fill="33CC33"/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5"/>
                                    <w:ind w:left="369"/>
                                    <w:jc w:val="both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固化后性能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left="4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硬度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邵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left="163"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212" w:right="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ASTM D2240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9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导热系数</w:t>
                                  </w:r>
                                  <w:r>
                                    <w:rPr>
                                      <w:sz w:val="18"/>
                                    </w:rPr>
                                    <w:t>/W·m</w:t>
                                  </w:r>
                                  <w:r>
                                    <w:rPr>
                                      <w:position w:val="6"/>
                                      <w:sz w:val="11"/>
                                    </w:rPr>
                                    <w:t>-1</w:t>
                                  </w:r>
                                  <w:r>
                                    <w:rPr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position w:val="6"/>
                                      <w:sz w:val="11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161"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≥</w:t>
                                  </w:r>
                                  <w:r>
                                    <w:rPr>
                                      <w:sz w:val="18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212" w:right="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ASTM D5470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8"/>
                                    <w:ind w:left="1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介电强度</w:t>
                                  </w:r>
                                  <w:r>
                                    <w:rPr>
                                      <w:sz w:val="18"/>
                                    </w:rPr>
                                    <w:t>/kV/mm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8"/>
                                    <w:ind w:left="165"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≥</w:t>
                                  </w: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212" w:right="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ASTM D149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1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体积电阻率</w:t>
                                  </w:r>
                                  <w:r>
                                    <w:rPr>
                                      <w:sz w:val="18"/>
                                    </w:rPr>
                                    <w:t>/Ω·cm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ind w:left="162" w:right="20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楷体" w:hAnsi="楷体"/>
                                      <w:sz w:val="18"/>
                                    </w:rPr>
                                    <w:t>≥1X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position w:val="6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212" w:right="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ASTM D257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812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47"/>
                                    <w:ind w:left="448"/>
                                    <w:jc w:val="center"/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18"/>
                                    </w:rPr>
                                    <w:t>阻燃等级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165" w:right="2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V-0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9"/>
                                    <w:spacing w:before="59"/>
                                    <w:ind w:left="209" w:right="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 94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1.1pt;margin-top:-227.1pt;height:255.35pt;width:258.45pt;mso-position-horizontal-relative:page;z-index:251658240;mso-width-relative:page;mso-height-relative:page;" filled="f" stroked="f" coordsize="21600,21600" o:gfxdata="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fr&#10;6NTaAAAADAEAAA8AAAAAAAAAAQAgAAAAIgAAAGRycy9kb3ducmV2LnhtbFBLAQIUABQAAAAIAIdO&#10;4kDKxLETrwEAADw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5158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12"/>
                        <w:gridCol w:w="1579"/>
                        <w:gridCol w:w="176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610" w:right="797"/>
                              <w:jc w:val="center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性能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right="19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lang w:val="en-US" w:eastAsia="zh-CN"/>
                              </w:rPr>
                              <w:t>MR</w:t>
                            </w:r>
                            <w:r>
                              <w:rPr>
                                <w:sz w:val="18"/>
                              </w:rPr>
                              <w:t>6619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213" w:right="55"/>
                              <w:jc w:val="center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测试标准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4" w:hRule="atLeast"/>
                        </w:trPr>
                        <w:tc>
                          <w:tcPr>
                            <w:tcW w:w="5158" w:type="dxa"/>
                            <w:gridSpan w:val="3"/>
                            <w:shd w:val="clear" w:color="auto" w:fill="33CC33"/>
                            <w:vAlign w:val="center"/>
                          </w:tcPr>
                          <w:p>
                            <w:pPr>
                              <w:pStyle w:val="9"/>
                              <w:spacing w:before="52"/>
                              <w:ind w:left="369"/>
                              <w:jc w:val="both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未固化性能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0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610" w:right="797"/>
                              <w:jc w:val="center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颜色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167" w:right="203"/>
                              <w:jc w:val="center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白色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灰色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213" w:right="55"/>
                              <w:jc w:val="center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目视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2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left="1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组分粘度</w:t>
                            </w:r>
                            <w:r>
                              <w:rPr>
                                <w:sz w:val="18"/>
                              </w:rPr>
                              <w:t>/mPa·s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2500</w:t>
                            </w:r>
                            <w:r>
                              <w:rPr>
                                <w:rFonts w:ascii="楷体" w:hAnsi="楷体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214" w:righ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ASTM D1084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6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 </w:t>
                            </w: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组分粘度</w:t>
                            </w:r>
                            <w:r>
                              <w:rPr>
                                <w:sz w:val="18"/>
                              </w:rPr>
                              <w:t>/mPa·s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2500</w:t>
                            </w:r>
                            <w:r>
                              <w:rPr>
                                <w:rFonts w:ascii="楷体" w:hAnsi="楷体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214" w:righ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ASTM D1084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left="9"/>
                              <w:jc w:val="center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使用比例（重量比）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right="2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1:1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left="213" w:right="55"/>
                              <w:jc w:val="center"/>
                              <w:rPr>
                                <w:rFonts w:ascii="楷体" w:hAnsi="楷体"/>
                                <w:sz w:val="18"/>
                              </w:rPr>
                            </w:pPr>
                            <w:r>
                              <w:rPr>
                                <w:rFonts w:ascii="楷体" w:hAnsi="楷体"/>
                                <w:sz w:val="18"/>
                              </w:rPr>
                              <w:t>——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6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19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混合粘度</w:t>
                            </w:r>
                            <w:r>
                              <w:rPr>
                                <w:sz w:val="18"/>
                              </w:rPr>
                              <w:t>/mPa·s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2500</w:t>
                            </w:r>
                            <w:r>
                              <w:rPr>
                                <w:rFonts w:ascii="楷体" w:hAnsi="楷体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214" w:righ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ASTM D1084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9" w:hRule="atLeast"/>
                        </w:trPr>
                        <w:tc>
                          <w:tcPr>
                            <w:tcW w:w="5158" w:type="dxa"/>
                            <w:gridSpan w:val="3"/>
                            <w:shd w:val="clear" w:color="auto" w:fill="33CC33"/>
                            <w:vAlign w:val="center"/>
                          </w:tcPr>
                          <w:p>
                            <w:pPr>
                              <w:pStyle w:val="9"/>
                              <w:spacing w:before="52"/>
                              <w:ind w:left="369"/>
                              <w:jc w:val="both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操作性能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1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28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操作时间</w:t>
                            </w:r>
                            <w:r>
                              <w:rPr>
                                <w:sz w:val="18"/>
                              </w:rPr>
                              <w:t>/min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62"/>
                              <w:ind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30~40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213" w:right="55"/>
                              <w:jc w:val="center"/>
                              <w:rPr>
                                <w:rFonts w:ascii="楷体" w:hAnsi="楷体"/>
                                <w:sz w:val="18"/>
                              </w:rPr>
                            </w:pPr>
                            <w:r>
                              <w:rPr>
                                <w:rFonts w:ascii="楷体" w:hAnsi="楷体"/>
                                <w:sz w:val="18"/>
                              </w:rPr>
                              <w:t>——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left="114"/>
                              <w:jc w:val="center"/>
                              <w:rPr>
                                <w:rFonts w:hint="eastAsia" w:ascii="楷体" w:hAns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固化时间</w:t>
                            </w:r>
                            <w:r>
                              <w:rPr>
                                <w:sz w:val="18"/>
                              </w:rPr>
                              <w:t>/h@25</w:t>
                            </w: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4~6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left="213" w:right="55"/>
                              <w:jc w:val="center"/>
                              <w:rPr>
                                <w:rFonts w:ascii="楷体" w:hAnsi="楷体"/>
                                <w:sz w:val="18"/>
                              </w:rPr>
                            </w:pPr>
                            <w:r>
                              <w:rPr>
                                <w:rFonts w:ascii="楷体" w:hAnsi="楷体"/>
                                <w:sz w:val="18"/>
                              </w:rPr>
                              <w:t>——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21"/>
                              <w:jc w:val="center"/>
                              <w:rPr>
                                <w:rFonts w:hint="eastAsia" w:ascii="楷体" w:hAns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固化时间</w:t>
                            </w:r>
                            <w:r>
                              <w:rPr>
                                <w:sz w:val="18"/>
                              </w:rPr>
                              <w:t>/min@80</w:t>
                            </w: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62"/>
                              <w:ind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20~30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213" w:right="55"/>
                              <w:jc w:val="center"/>
                              <w:rPr>
                                <w:rFonts w:ascii="楷体" w:hAnsi="楷体"/>
                                <w:sz w:val="18"/>
                              </w:rPr>
                            </w:pPr>
                            <w:r>
                              <w:rPr>
                                <w:rFonts w:ascii="楷体" w:hAnsi="楷体"/>
                                <w:sz w:val="18"/>
                              </w:rPr>
                              <w:t>——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5158" w:type="dxa"/>
                            <w:gridSpan w:val="3"/>
                            <w:shd w:val="clear" w:color="auto" w:fill="33CC33"/>
                            <w:vAlign w:val="center"/>
                          </w:tcPr>
                          <w:p>
                            <w:pPr>
                              <w:pStyle w:val="9"/>
                              <w:spacing w:before="55"/>
                              <w:ind w:left="369"/>
                              <w:jc w:val="both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固化后性能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left="4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硬度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邵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left="163"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rFonts w:ascii="楷体" w:hAnsi="楷体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212" w:right="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ASTM D2240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2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9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导热系数</w:t>
                            </w:r>
                            <w:r>
                              <w:rPr>
                                <w:sz w:val="18"/>
                              </w:rPr>
                              <w:t>/W·m</w:t>
                            </w:r>
                            <w:r>
                              <w:rPr>
                                <w:position w:val="6"/>
                                <w:sz w:val="11"/>
                              </w:rPr>
                              <w:t>-1</w:t>
                            </w:r>
                            <w:r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position w:val="6"/>
                                <w:sz w:val="11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161"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楷体" w:hAnsi="楷体"/>
                                <w:sz w:val="18"/>
                              </w:rPr>
                              <w:t>≥</w:t>
                            </w:r>
                            <w:r>
                              <w:rPr>
                                <w:sz w:val="18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212" w:right="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ASTM D5470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8"/>
                              <w:ind w:left="1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介电强度</w:t>
                            </w:r>
                            <w:r>
                              <w:rPr>
                                <w:sz w:val="18"/>
                              </w:rPr>
                              <w:t>/kV/mm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8"/>
                              <w:ind w:left="165"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楷体" w:hAnsi="楷体"/>
                                <w:sz w:val="18"/>
                              </w:rPr>
                              <w:t>≥</w:t>
                            </w: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212" w:right="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ASTM D149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2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1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体积电阻率</w:t>
                            </w:r>
                            <w:r>
                              <w:rPr>
                                <w:sz w:val="18"/>
                              </w:rPr>
                              <w:t>/Ω·cm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ind w:left="162" w:right="20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ascii="楷体" w:hAnsi="楷体"/>
                                <w:sz w:val="18"/>
                              </w:rPr>
                              <w:t>≥1X</w:t>
                            </w:r>
                            <w:r>
                              <w:rPr>
                                <w:sz w:val="18"/>
                              </w:rPr>
                              <w:t xml:space="preserve">10 </w:t>
                            </w:r>
                            <w:r>
                              <w:rPr>
                                <w:position w:val="6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212" w:right="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ASTM D257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0" w:hRule="atLeast"/>
                        </w:trPr>
                        <w:tc>
                          <w:tcPr>
                            <w:tcW w:w="1812" w:type="dxa"/>
                            <w:tcBorders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47"/>
                              <w:ind w:left="448"/>
                              <w:jc w:val="center"/>
                              <w:rPr>
                                <w:rFonts w:hint="eastAsia" w:asci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18"/>
                              </w:rPr>
                              <w:t>阻燃等级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165"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V-0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nil"/>
                            </w:tcBorders>
                            <w:vAlign w:val="center"/>
                          </w:tcPr>
                          <w:p>
                            <w:pPr>
                              <w:pStyle w:val="9"/>
                              <w:spacing w:before="59"/>
                              <w:ind w:left="209" w:right="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 94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t>产品典型性能参数</w:t>
      </w:r>
    </w:p>
    <w:p>
      <w:pPr>
        <w:spacing w:after="0"/>
        <w:sectPr>
          <w:type w:val="continuous"/>
          <w:pgSz w:w="11910" w:h="16840"/>
          <w:pgMar w:top="1780" w:right="1560" w:bottom="280" w:left="1680" w:header="720" w:footer="720" w:gutter="0"/>
          <w:cols w:equalWidth="0" w:num="2">
            <w:col w:w="3575" w:space="116"/>
            <w:col w:w="4979"/>
          </w:cols>
        </w:sect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应用方法</w:t>
      </w:r>
    </w:p>
    <w:p>
      <w:pPr>
        <w:pStyle w:val="3"/>
        <w:spacing w:before="137" w:line="242" w:lineRule="auto"/>
        <w:ind w:left="-863" w:leftChars="0" w:right="-790" w:rightChars="0" w:firstLine="423" w:firstLineChars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pacing w:val="-13"/>
          <w:sz w:val="21"/>
          <w:szCs w:val="21"/>
        </w:rPr>
        <w:t xml:space="preserve">使用时将 </w:t>
      </w:r>
      <w:r>
        <w:rPr>
          <w:rFonts w:hint="eastAsia" w:ascii="楷体" w:hAnsi="楷体" w:eastAsia="楷体" w:cs="楷体"/>
          <w:sz w:val="21"/>
          <w:szCs w:val="21"/>
        </w:rPr>
        <w:t xml:space="preserve">A，B </w:t>
      </w:r>
      <w:r>
        <w:rPr>
          <w:rFonts w:hint="eastAsia" w:ascii="楷体" w:hAnsi="楷体" w:eastAsia="楷体" w:cs="楷体"/>
          <w:spacing w:val="-20"/>
          <w:sz w:val="21"/>
          <w:szCs w:val="21"/>
        </w:rPr>
        <w:t xml:space="preserve">按照 </w:t>
      </w:r>
      <w:r>
        <w:rPr>
          <w:rFonts w:hint="eastAsia" w:ascii="楷体" w:hAnsi="楷体" w:eastAsia="楷体" w:cs="楷体"/>
          <w:sz w:val="21"/>
          <w:szCs w:val="21"/>
        </w:rPr>
        <w:t xml:space="preserve">1：1 </w:t>
      </w:r>
      <w:r>
        <w:rPr>
          <w:rFonts w:hint="eastAsia" w:ascii="楷体" w:hAnsi="楷体" w:eastAsia="楷体" w:cs="楷体"/>
          <w:spacing w:val="-1"/>
          <w:sz w:val="21"/>
          <w:szCs w:val="21"/>
        </w:rPr>
        <w:t>的比例混合均匀，浇注在需要灌封的部位。产品</w:t>
      </w:r>
      <w:r>
        <w:rPr>
          <w:rFonts w:hint="eastAsia" w:ascii="楷体" w:hAnsi="楷体" w:eastAsia="楷体" w:cs="楷体"/>
          <w:spacing w:val="-16"/>
          <w:sz w:val="21"/>
          <w:szCs w:val="21"/>
        </w:rPr>
        <w:t>有良好的自排泡性能，一般直接灌封即可达到需要的散热效果，抽真空后再灌封</w:t>
      </w:r>
      <w:r>
        <w:rPr>
          <w:rFonts w:hint="eastAsia" w:cs="楷体"/>
          <w:spacing w:val="-16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pacing w:val="-1"/>
          <w:sz w:val="21"/>
          <w:szCs w:val="21"/>
        </w:rPr>
        <w:t>导热效果更佳。灌封完成后，根据具体工艺条件，室温加热固化均可。</w:t>
      </w: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pStyle w:val="3"/>
        <w:spacing w:before="137" w:line="242" w:lineRule="auto"/>
        <w:ind w:left="-863" w:leftChars="0" w:right="-790" w:rightChars="0" w:firstLine="423" w:firstLineChars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pacing w:val="-13"/>
          <w:sz w:val="21"/>
          <w:szCs w:val="21"/>
        </w:rPr>
        <w:t xml:space="preserve">使用时将 </w:t>
      </w:r>
      <w:r>
        <w:rPr>
          <w:rFonts w:hint="eastAsia" w:ascii="楷体" w:hAnsi="楷体" w:eastAsia="楷体" w:cs="楷体"/>
          <w:sz w:val="21"/>
          <w:szCs w:val="21"/>
        </w:rPr>
        <w:t xml:space="preserve">A，B </w:t>
      </w:r>
      <w:r>
        <w:rPr>
          <w:rFonts w:hint="eastAsia" w:ascii="楷体" w:hAnsi="楷体" w:eastAsia="楷体" w:cs="楷体"/>
          <w:spacing w:val="-20"/>
          <w:sz w:val="21"/>
          <w:szCs w:val="21"/>
        </w:rPr>
        <w:t xml:space="preserve">按照 </w:t>
      </w:r>
      <w:r>
        <w:rPr>
          <w:rFonts w:hint="eastAsia" w:ascii="楷体" w:hAnsi="楷体" w:eastAsia="楷体" w:cs="楷体"/>
          <w:sz w:val="21"/>
          <w:szCs w:val="21"/>
        </w:rPr>
        <w:t xml:space="preserve">1：1 </w:t>
      </w:r>
      <w:r>
        <w:rPr>
          <w:rFonts w:hint="eastAsia" w:ascii="楷体" w:hAnsi="楷体" w:eastAsia="楷体" w:cs="楷体"/>
          <w:spacing w:val="-1"/>
          <w:sz w:val="21"/>
          <w:szCs w:val="21"/>
        </w:rPr>
        <w:t>的比例混合均匀，浇注在需要灌封的部位。产品</w:t>
      </w:r>
      <w:r>
        <w:rPr>
          <w:rFonts w:hint="eastAsia" w:ascii="楷体" w:hAnsi="楷体" w:eastAsia="楷体" w:cs="楷体"/>
          <w:spacing w:val="-16"/>
          <w:sz w:val="21"/>
          <w:szCs w:val="21"/>
        </w:rPr>
        <w:t>有良好的自排泡性能，一般直接灌封即可达到需要的散热效果，抽真空后再灌封</w:t>
      </w:r>
      <w:r>
        <w:rPr>
          <w:rFonts w:hint="eastAsia" w:cs="楷体"/>
          <w:spacing w:val="-16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pacing w:val="-1"/>
          <w:sz w:val="21"/>
          <w:szCs w:val="21"/>
        </w:rPr>
        <w:t>导热效果更佳。灌封完成后，根据具体工艺条件，室温加热固化均可。</w:t>
      </w: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37"/>
        <w:ind w:left="-424" w:leftChars="-200" w:hanging="16" w:hangingChars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20kg/桶，40kg/组。</w:t>
      </w: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pStyle w:val="3"/>
        <w:spacing w:line="242" w:lineRule="auto"/>
        <w:ind w:left="-863" w:leftChars="0" w:right="-790" w:rightChars="0" w:firstLine="423" w:firstLineChars="0"/>
        <w:jc w:val="both"/>
        <w:rPr>
          <w:rFonts w:hint="eastAsia" w:eastAsia="楷体"/>
          <w:lang w:eastAsia="zh-CN"/>
        </w:rPr>
      </w:pPr>
      <w:r>
        <w:rPr>
          <w:rFonts w:hint="eastAsia" w:ascii="楷体" w:hAnsi="楷体" w:eastAsia="楷体" w:cs="楷体"/>
          <w:spacing w:val="-30"/>
          <w:sz w:val="21"/>
          <w:szCs w:val="21"/>
        </w:rPr>
        <w:t xml:space="preserve">在 </w:t>
      </w:r>
      <w:r>
        <w:rPr>
          <w:rFonts w:hint="eastAsia" w:ascii="楷体" w:hAnsi="楷体" w:eastAsia="楷体" w:cs="楷体"/>
          <w:sz w:val="21"/>
          <w:szCs w:val="21"/>
        </w:rPr>
        <w:t>30</w:t>
      </w:r>
      <w:r>
        <w:rPr>
          <w:rFonts w:hint="eastAsia" w:ascii="楷体" w:hAnsi="楷体" w:eastAsia="楷体" w:cs="楷体"/>
          <w:spacing w:val="-2"/>
          <w:sz w:val="21"/>
          <w:szCs w:val="21"/>
        </w:rPr>
        <w:t>℃以下密封保存，</w:t>
      </w:r>
      <w:r>
        <w:rPr>
          <w:rFonts w:hint="eastAsia" w:ascii="楷体" w:hAnsi="楷体" w:eastAsia="楷体" w:cs="楷体"/>
          <w:spacing w:val="-11"/>
          <w:sz w:val="21"/>
          <w:szCs w:val="21"/>
        </w:rPr>
        <w:t>A</w:t>
      </w:r>
      <w:r>
        <w:rPr>
          <w:rFonts w:hint="eastAsia" w:ascii="楷体" w:hAnsi="楷体" w:eastAsia="楷体" w:cs="楷体"/>
          <w:spacing w:val="-22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 xml:space="preserve">B </w:t>
      </w:r>
      <w:r>
        <w:rPr>
          <w:rFonts w:hint="eastAsia" w:ascii="楷体" w:hAnsi="楷体" w:eastAsia="楷体" w:cs="楷体"/>
          <w:spacing w:val="-3"/>
          <w:sz w:val="21"/>
          <w:szCs w:val="21"/>
        </w:rPr>
        <w:t>组分的有效期为自生产日期后十二个月。存放</w:t>
      </w:r>
      <w:r>
        <w:rPr>
          <w:rFonts w:hint="eastAsia" w:ascii="楷体" w:hAnsi="楷体" w:eastAsia="楷体" w:cs="楷体"/>
          <w:spacing w:val="-8"/>
          <w:sz w:val="21"/>
          <w:szCs w:val="21"/>
        </w:rPr>
        <w:t>时间超过三个月，导热粉体会有沉降现象，使用前搅拌均匀，不影响产品使</w:t>
      </w:r>
    </w:p>
    <w:sectPr>
      <w:pgSz w:w="11910" w:h="16840"/>
      <w:pgMar w:top="20" w:right="1560" w:bottom="1440" w:left="1680" w:header="854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line="14" w:lineRule="auto"/>
      <w:ind w:left="-880" w:leftChars="-400" w:firstLine="0" w:firstLineChars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7B05"/>
    <w:rsid w:val="3AA0297B"/>
    <w:rsid w:val="3E543B05"/>
    <w:rsid w:val="53E42A14"/>
    <w:rsid w:val="57F253CA"/>
    <w:rsid w:val="5BA872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2"/>
      <w:ind w:left="117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4"/>
      <w:ind w:left="780" w:hanging="86"/>
    </w:pPr>
    <w:rPr>
      <w:rFonts w:ascii="楷体" w:hAnsi="楷体" w:eastAsia="楷体" w:cs="楷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50"/>
      <w:ind w:left="16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2020-04-09T10:06:00Z</dcterms:created>
  <dc:creator>Administrator</dc:creator>
  <cp:lastModifiedBy>Administrator</cp:lastModifiedBy>
  <dcterms:modified xsi:type="dcterms:W3CDTF">2020-05-12T02:43:46Z</dcterms:modified>
  <dc:title>TBL-6619 TDS.doc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TBL-6619 TDS.doc - WPS 文字 - 兼容模式</vt:lpwstr>
  </property>
  <property fmtid="{D5CDD505-2E9C-101B-9397-08002B2CF9AE}" pid="4" name="LastSaved">
    <vt:filetime>2020-04-09T00:00:00Z</vt:filetime>
  </property>
  <property fmtid="{D5CDD505-2E9C-101B-9397-08002B2CF9AE}" pid="5" name="KSOProductBuildVer">
    <vt:lpwstr>2052-10.8.0.5391</vt:lpwstr>
  </property>
</Properties>
</file>